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C578B">
      <w:pPr>
        <w:spacing w:line="540" w:lineRule="exact"/>
        <w:jc w:val="center"/>
        <w:rPr>
          <w:rFonts w:ascii="宋体" w:hAnsi="宋体"/>
          <w:b/>
          <w:color w:val="000000"/>
          <w:sz w:val="24"/>
        </w:rPr>
      </w:pPr>
    </w:p>
    <w:p w14:paraId="4B573A80">
      <w:pPr>
        <w:spacing w:line="540" w:lineRule="exact"/>
        <w:jc w:val="center"/>
        <w:rPr>
          <w:rFonts w:ascii="宋体" w:hAnsi="宋体"/>
          <w:b/>
          <w:color w:val="000000"/>
          <w:sz w:val="24"/>
        </w:rPr>
      </w:pPr>
    </w:p>
    <w:p w14:paraId="6C6C1385">
      <w:pPr>
        <w:jc w:val="center"/>
        <w:rPr>
          <w:rFonts w:ascii="宋体" w:hAnsi="宋体"/>
          <w:b/>
          <w:color w:val="000000"/>
          <w:sz w:val="48"/>
          <w:szCs w:val="48"/>
        </w:rPr>
      </w:pPr>
      <w:r>
        <w:rPr>
          <w:rFonts w:hint="eastAsia" w:ascii="宋体" w:hAnsi="宋体"/>
          <w:b/>
          <w:color w:val="000000"/>
          <w:sz w:val="48"/>
          <w:szCs w:val="48"/>
        </w:rPr>
        <w:t>证券投资模拟大赛方案</w:t>
      </w:r>
    </w:p>
    <w:p w14:paraId="0935B90D">
      <w:pPr>
        <w:jc w:val="center"/>
        <w:rPr>
          <w:rFonts w:ascii="宋体" w:hAnsi="宋体"/>
          <w:b/>
          <w:sz w:val="48"/>
          <w:szCs w:val="48"/>
        </w:rPr>
      </w:pPr>
      <w:r>
        <w:rPr>
          <w:rFonts w:hint="eastAsia" w:ascii="宋体" w:hAnsi="宋体"/>
          <w:b/>
          <w:sz w:val="48"/>
          <w:szCs w:val="48"/>
        </w:rPr>
        <w:t>（2</w:t>
      </w:r>
      <w:r>
        <w:rPr>
          <w:rFonts w:ascii="宋体" w:hAnsi="宋体"/>
          <w:b/>
          <w:sz w:val="48"/>
          <w:szCs w:val="48"/>
        </w:rPr>
        <w:t>02</w:t>
      </w:r>
      <w:r>
        <w:rPr>
          <w:rFonts w:hint="eastAsia" w:ascii="宋体" w:hAnsi="宋体"/>
          <w:b/>
          <w:sz w:val="48"/>
          <w:szCs w:val="48"/>
        </w:rPr>
        <w:t>6</w:t>
      </w:r>
      <w:r>
        <w:rPr>
          <w:rFonts w:ascii="宋体" w:hAnsi="宋体"/>
          <w:b/>
          <w:sz w:val="48"/>
          <w:szCs w:val="48"/>
        </w:rPr>
        <w:t>.</w:t>
      </w:r>
      <w:r>
        <w:rPr>
          <w:rFonts w:hint="eastAsia" w:ascii="宋体" w:hAnsi="宋体"/>
          <w:b/>
          <w:sz w:val="48"/>
          <w:szCs w:val="48"/>
        </w:rPr>
        <w:t>5</w:t>
      </w:r>
      <w:r>
        <w:rPr>
          <w:rFonts w:ascii="宋体" w:hAnsi="宋体"/>
          <w:b/>
          <w:sz w:val="48"/>
          <w:szCs w:val="48"/>
        </w:rPr>
        <w:t>.</w:t>
      </w:r>
      <w:r>
        <w:rPr>
          <w:rFonts w:hint="eastAsia" w:ascii="宋体" w:hAnsi="宋体"/>
          <w:b/>
          <w:sz w:val="48"/>
          <w:szCs w:val="48"/>
        </w:rPr>
        <w:t>19-</w:t>
      </w:r>
      <w:r>
        <w:rPr>
          <w:rFonts w:ascii="宋体" w:hAnsi="宋体"/>
          <w:b/>
          <w:sz w:val="48"/>
          <w:szCs w:val="48"/>
        </w:rPr>
        <w:t>202</w:t>
      </w:r>
      <w:r>
        <w:rPr>
          <w:rFonts w:hint="eastAsia" w:ascii="宋体" w:hAnsi="宋体"/>
          <w:b/>
          <w:sz w:val="48"/>
          <w:szCs w:val="48"/>
        </w:rPr>
        <w:t>6</w:t>
      </w:r>
      <w:r>
        <w:rPr>
          <w:rFonts w:ascii="宋体" w:hAnsi="宋体"/>
          <w:b/>
          <w:sz w:val="48"/>
          <w:szCs w:val="48"/>
        </w:rPr>
        <w:t>.</w:t>
      </w:r>
      <w:r>
        <w:rPr>
          <w:rFonts w:hint="eastAsia" w:ascii="宋体" w:hAnsi="宋体"/>
          <w:b/>
          <w:sz w:val="48"/>
          <w:szCs w:val="48"/>
        </w:rPr>
        <w:t>6</w:t>
      </w:r>
      <w:r>
        <w:rPr>
          <w:rFonts w:ascii="宋体" w:hAnsi="宋体"/>
          <w:b/>
          <w:sz w:val="48"/>
          <w:szCs w:val="48"/>
        </w:rPr>
        <w:t>.</w:t>
      </w:r>
      <w:r>
        <w:rPr>
          <w:rFonts w:hint="eastAsia" w:ascii="宋体" w:hAnsi="宋体"/>
          <w:b/>
          <w:sz w:val="48"/>
          <w:szCs w:val="48"/>
        </w:rPr>
        <w:t>26）</w:t>
      </w:r>
    </w:p>
    <w:p w14:paraId="6D08D234">
      <w:pPr>
        <w:spacing w:line="540" w:lineRule="exact"/>
        <w:jc w:val="center"/>
        <w:rPr>
          <w:rFonts w:ascii="宋体" w:hAnsi="宋体"/>
          <w:b/>
          <w:color w:val="000000"/>
          <w:sz w:val="24"/>
        </w:rPr>
      </w:pPr>
    </w:p>
    <w:p w14:paraId="067514B9">
      <w:pPr>
        <w:spacing w:line="540" w:lineRule="exact"/>
        <w:jc w:val="center"/>
        <w:rPr>
          <w:rFonts w:ascii="宋体" w:hAnsi="宋体"/>
          <w:b/>
          <w:color w:val="000000"/>
          <w:sz w:val="24"/>
        </w:rPr>
      </w:pPr>
    </w:p>
    <w:p w14:paraId="54A8AC09">
      <w:pPr>
        <w:spacing w:line="540" w:lineRule="exact"/>
        <w:jc w:val="center"/>
        <w:rPr>
          <w:rFonts w:ascii="宋体" w:hAnsi="宋体"/>
          <w:b/>
          <w:color w:val="000000"/>
          <w:sz w:val="24"/>
        </w:rPr>
      </w:pPr>
    </w:p>
    <w:p w14:paraId="65DCC343">
      <w:pPr>
        <w:spacing w:line="540" w:lineRule="exact"/>
        <w:jc w:val="center"/>
        <w:rPr>
          <w:rFonts w:ascii="宋体" w:hAnsi="宋体"/>
          <w:b/>
          <w:color w:val="000000"/>
          <w:sz w:val="24"/>
        </w:rPr>
      </w:pPr>
    </w:p>
    <w:p w14:paraId="613BD40E">
      <w:pPr>
        <w:spacing w:line="540" w:lineRule="exact"/>
        <w:jc w:val="center"/>
        <w:rPr>
          <w:rFonts w:ascii="宋体" w:hAnsi="宋体"/>
          <w:b/>
          <w:color w:val="000000"/>
          <w:sz w:val="24"/>
        </w:rPr>
      </w:pPr>
    </w:p>
    <w:p w14:paraId="4F42FA72">
      <w:pPr>
        <w:spacing w:line="540" w:lineRule="exact"/>
        <w:jc w:val="center"/>
        <w:rPr>
          <w:rFonts w:ascii="宋体" w:hAnsi="宋体"/>
          <w:b/>
          <w:color w:val="000000"/>
          <w:sz w:val="24"/>
        </w:rPr>
      </w:pPr>
    </w:p>
    <w:p w14:paraId="578ECDB1">
      <w:pPr>
        <w:spacing w:line="540" w:lineRule="exact"/>
        <w:jc w:val="center"/>
        <w:rPr>
          <w:rFonts w:ascii="宋体" w:hAnsi="宋体"/>
          <w:b/>
          <w:color w:val="000000"/>
          <w:sz w:val="24"/>
        </w:rPr>
      </w:pPr>
    </w:p>
    <w:p w14:paraId="1C75D6D2">
      <w:pPr>
        <w:spacing w:line="540" w:lineRule="exact"/>
        <w:jc w:val="center"/>
        <w:rPr>
          <w:rFonts w:ascii="宋体" w:hAnsi="宋体"/>
          <w:b/>
          <w:color w:val="000000"/>
          <w:sz w:val="24"/>
        </w:rPr>
      </w:pPr>
    </w:p>
    <w:tbl>
      <w:tblPr>
        <w:tblStyle w:val="7"/>
        <w:tblpPr w:leftFromText="180" w:rightFromText="180" w:vertAnchor="text" w:horzAnchor="page" w:tblpX="2432" w:tblpY="52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99"/>
        <w:gridCol w:w="5253"/>
      </w:tblGrid>
      <w:tr w14:paraId="7C552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99" w:type="dxa"/>
          </w:tcPr>
          <w:p w14:paraId="57DD4E03">
            <w:pPr>
              <w:spacing w:line="540" w:lineRule="exact"/>
              <w:jc w:val="distribute"/>
              <w:rPr>
                <w:rFonts w:ascii="宋体" w:hAnsi="宋体"/>
                <w:b/>
                <w:color w:val="000000"/>
                <w:sz w:val="28"/>
                <w:szCs w:val="28"/>
              </w:rPr>
            </w:pPr>
            <w:r>
              <w:rPr>
                <w:rFonts w:hint="eastAsia" w:ascii="宋体" w:hAnsi="宋体"/>
                <w:color w:val="000000"/>
                <w:kern w:val="0"/>
                <w:sz w:val="28"/>
                <w:szCs w:val="28"/>
              </w:rPr>
              <w:t>主办单位</w:t>
            </w:r>
          </w:p>
        </w:tc>
        <w:tc>
          <w:tcPr>
            <w:tcW w:w="5253" w:type="dxa"/>
          </w:tcPr>
          <w:p w14:paraId="3FA41DE1">
            <w:pPr>
              <w:spacing w:line="540" w:lineRule="exact"/>
              <w:rPr>
                <w:rFonts w:hint="eastAsia" w:ascii="宋体" w:hAnsi="宋体" w:eastAsia="宋体"/>
                <w:color w:val="000000"/>
                <w:sz w:val="28"/>
                <w:szCs w:val="28"/>
                <w:lang w:val="en-US" w:eastAsia="zh-CN"/>
              </w:rPr>
            </w:pPr>
            <w:r>
              <w:rPr>
                <w:rFonts w:hint="eastAsia" w:ascii="宋体" w:hAnsi="宋体"/>
                <w:color w:val="000000"/>
                <w:sz w:val="28"/>
                <w:szCs w:val="28"/>
              </w:rPr>
              <w:t>：河北经贸大学经济管理学院</w:t>
            </w:r>
            <w:r>
              <w:rPr>
                <w:rFonts w:hint="eastAsia" w:ascii="宋体" w:hAnsi="宋体"/>
                <w:color w:val="000000"/>
                <w:sz w:val="28"/>
                <w:szCs w:val="28"/>
                <w:lang w:val="en-US" w:eastAsia="zh-CN"/>
              </w:rPr>
              <w:t>实践教学部</w:t>
            </w:r>
          </w:p>
        </w:tc>
      </w:tr>
      <w:tr w14:paraId="59BB3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99" w:type="dxa"/>
          </w:tcPr>
          <w:p w14:paraId="5B0C75A5">
            <w:pPr>
              <w:spacing w:line="540" w:lineRule="exact"/>
              <w:jc w:val="distribute"/>
              <w:rPr>
                <w:rFonts w:hint="eastAsia" w:ascii="宋体" w:hAnsi="宋体"/>
                <w:color w:val="000000"/>
                <w:kern w:val="0"/>
                <w:sz w:val="28"/>
                <w:szCs w:val="28"/>
              </w:rPr>
            </w:pPr>
            <w:r>
              <w:rPr>
                <w:rFonts w:hint="eastAsia" w:ascii="宋体" w:hAnsi="宋体"/>
                <w:color w:val="000000"/>
                <w:sz w:val="28"/>
                <w:szCs w:val="28"/>
                <w:lang w:val="en-US" w:eastAsia="zh-CN"/>
              </w:rPr>
              <w:t>承办单位</w:t>
            </w:r>
          </w:p>
        </w:tc>
        <w:tc>
          <w:tcPr>
            <w:tcW w:w="5253" w:type="dxa"/>
          </w:tcPr>
          <w:p w14:paraId="55005766">
            <w:pPr>
              <w:spacing w:line="540" w:lineRule="exact"/>
              <w:rPr>
                <w:rFonts w:hint="eastAsia" w:ascii="宋体" w:hAnsi="宋体"/>
                <w:color w:val="000000"/>
                <w:sz w:val="28"/>
                <w:szCs w:val="28"/>
              </w:rPr>
            </w:pPr>
            <w:r>
              <w:rPr>
                <w:rFonts w:hint="eastAsia" w:ascii="宋体" w:hAnsi="宋体"/>
                <w:color w:val="000000"/>
                <w:sz w:val="28"/>
                <w:szCs w:val="28"/>
                <w:lang w:val="en-US" w:eastAsia="zh-CN"/>
              </w:rPr>
              <w:t>：</w:t>
            </w:r>
            <w:r>
              <w:rPr>
                <w:rFonts w:hint="eastAsia" w:ascii="宋体" w:hAnsi="宋体"/>
                <w:color w:val="000000"/>
                <w:sz w:val="28"/>
                <w:szCs w:val="28"/>
              </w:rPr>
              <w:t>河北经贸大学经济管理学院经济系</w:t>
            </w:r>
          </w:p>
        </w:tc>
      </w:tr>
      <w:tr w14:paraId="05090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99" w:type="dxa"/>
            <w:shd w:val="clear" w:color="auto" w:fill="FFFFFF"/>
          </w:tcPr>
          <w:p w14:paraId="4CBE1E5E">
            <w:pPr>
              <w:spacing w:line="540" w:lineRule="exact"/>
              <w:jc w:val="distribute"/>
              <w:rPr>
                <w:rFonts w:ascii="宋体" w:hAnsi="宋体"/>
                <w:color w:val="000000"/>
                <w:sz w:val="28"/>
                <w:szCs w:val="28"/>
              </w:rPr>
            </w:pPr>
            <w:r>
              <w:rPr>
                <w:rFonts w:hint="eastAsia" w:ascii="宋体" w:hAnsi="宋体"/>
                <w:color w:val="000000"/>
                <w:sz w:val="28"/>
                <w:szCs w:val="28"/>
              </w:rPr>
              <w:t>技术支持单位</w:t>
            </w:r>
          </w:p>
        </w:tc>
        <w:tc>
          <w:tcPr>
            <w:tcW w:w="5253" w:type="dxa"/>
            <w:shd w:val="clear" w:color="auto" w:fill="FFFFFF"/>
          </w:tcPr>
          <w:p w14:paraId="0EEFA46B">
            <w:pPr>
              <w:spacing w:line="540" w:lineRule="exact"/>
              <w:rPr>
                <w:sz w:val="28"/>
                <w:szCs w:val="28"/>
              </w:rPr>
            </w:pPr>
            <w:r>
              <w:rPr>
                <w:rFonts w:hint="eastAsia" w:ascii="宋体" w:hAnsi="宋体"/>
                <w:color w:val="000000"/>
                <w:sz w:val="28"/>
                <w:szCs w:val="28"/>
              </w:rPr>
              <w:t>：深圳希施玛数据科技有限公司</w:t>
            </w:r>
          </w:p>
        </w:tc>
      </w:tr>
    </w:tbl>
    <w:p w14:paraId="52CD12FA">
      <w:pPr>
        <w:spacing w:line="540" w:lineRule="exact"/>
        <w:jc w:val="center"/>
        <w:rPr>
          <w:rFonts w:ascii="宋体" w:hAnsi="宋体"/>
          <w:b/>
          <w:color w:val="000000"/>
          <w:sz w:val="28"/>
          <w:szCs w:val="28"/>
        </w:rPr>
      </w:pPr>
    </w:p>
    <w:p w14:paraId="6884F884">
      <w:pPr>
        <w:spacing w:line="540" w:lineRule="exact"/>
        <w:jc w:val="center"/>
        <w:rPr>
          <w:rFonts w:ascii="宋体" w:hAnsi="宋体"/>
          <w:b/>
          <w:color w:val="000000"/>
          <w:sz w:val="24"/>
        </w:rPr>
      </w:pPr>
    </w:p>
    <w:p w14:paraId="503EBF69">
      <w:pPr>
        <w:widowControl/>
        <w:jc w:val="left"/>
        <w:rPr>
          <w:rFonts w:ascii="宋体" w:hAnsi="宋体"/>
          <w:color w:val="000000"/>
          <w:sz w:val="24"/>
        </w:rPr>
      </w:pPr>
    </w:p>
    <w:p w14:paraId="124208B9">
      <w:pPr>
        <w:widowControl/>
        <w:jc w:val="left"/>
        <w:rPr>
          <w:rFonts w:ascii="宋体" w:hAnsi="宋体"/>
          <w:color w:val="000000"/>
          <w:sz w:val="24"/>
        </w:rPr>
      </w:pPr>
      <w:r>
        <w:rPr>
          <w:rFonts w:ascii="宋体" w:hAnsi="宋体"/>
          <w:color w:val="000000"/>
          <w:sz w:val="24"/>
        </w:rPr>
        <w:br w:type="page"/>
      </w:r>
    </w:p>
    <w:p w14:paraId="0A555210">
      <w:pPr>
        <w:spacing w:line="360" w:lineRule="auto"/>
        <w:jc w:val="left"/>
        <w:rPr>
          <w:rFonts w:ascii="黑体" w:hAnsi="黑体" w:eastAsia="黑体" w:cs="黑体"/>
          <w:bCs/>
          <w:sz w:val="32"/>
          <w:szCs w:val="32"/>
        </w:rPr>
      </w:pPr>
      <w:bookmarkStart w:id="0" w:name="_Toc26782831"/>
      <w:r>
        <w:rPr>
          <w:rFonts w:hint="eastAsia" w:ascii="黑体" w:hAnsi="黑体" w:eastAsia="黑体" w:cs="黑体"/>
          <w:bCs/>
          <w:sz w:val="32"/>
          <w:szCs w:val="32"/>
        </w:rPr>
        <w:t>一、竞赛背景与目的</w:t>
      </w:r>
    </w:p>
    <w:p w14:paraId="0639F3C7">
      <w:pPr>
        <w:spacing w:line="560" w:lineRule="exact"/>
        <w:ind w:firstLine="480" w:firstLineChars="200"/>
        <w:rPr>
          <w:rFonts w:ascii="宋体" w:hAnsi="宋体" w:cs="宋体"/>
          <w:sz w:val="24"/>
        </w:rPr>
      </w:pPr>
      <w:r>
        <w:rPr>
          <w:rFonts w:hint="eastAsia" w:ascii="宋体" w:hAnsi="宋体" w:cs="宋体"/>
          <w:sz w:val="24"/>
        </w:rPr>
        <w:t>为深入贯彻落实党中央、国务院关于加快建设金融强国、发展智能经济的决策部署，全面落实教育部与金融监管总局关于卓越金融人才培养的工作要求，推动金融理论教学与证券市场实务深度融合，强化高校金融类专业实践育人与创新人才培养，河北经贸大学经济管理学院经济系特举办2026 年证券投资模拟大赛。</w:t>
      </w:r>
    </w:p>
    <w:p w14:paraId="7849C31A">
      <w:pPr>
        <w:spacing w:line="560" w:lineRule="exact"/>
        <w:ind w:firstLine="480" w:firstLineChars="200"/>
        <w:rPr>
          <w:rFonts w:ascii="宋体" w:hAnsi="宋体" w:cs="宋体"/>
          <w:sz w:val="24"/>
        </w:rPr>
      </w:pPr>
      <w:r>
        <w:rPr>
          <w:rFonts w:hint="eastAsia" w:ascii="宋体" w:hAnsi="宋体" w:cs="宋体"/>
          <w:sz w:val="24"/>
        </w:rPr>
        <w:t>本次大赛依托希施玛证券投资实训系统，以真实行情+高精度仿真交易为核心，面向全体在校生搭建沉浸式、实战化证券投资实践平台。通过模拟沪深京股票、期货、期权等多品类证券投资交易，引导学生将金融、投资、经济等专业知识转化为实操能力，以赛促学、以赛促练、以赛促用，有效提升行情分析、资产配置、交易决策与风险管控能力，培育诚实守信、稳健审慎、守正创新、依法合规的金融素养与职业操守。</w:t>
      </w:r>
    </w:p>
    <w:bookmarkEnd w:id="0"/>
    <w:p w14:paraId="40CEA3EC">
      <w:pPr>
        <w:spacing w:line="360" w:lineRule="auto"/>
        <w:jc w:val="left"/>
        <w:rPr>
          <w:rFonts w:ascii="黑体" w:hAnsi="黑体" w:eastAsia="黑体" w:cs="黑体"/>
          <w:bCs/>
          <w:sz w:val="32"/>
          <w:szCs w:val="32"/>
        </w:rPr>
      </w:pPr>
      <w:r>
        <w:rPr>
          <w:rFonts w:hint="eastAsia" w:ascii="黑体" w:hAnsi="黑体" w:eastAsia="黑体" w:cs="黑体"/>
          <w:bCs/>
          <w:sz w:val="32"/>
          <w:szCs w:val="32"/>
        </w:rPr>
        <w:t>二、组织机构</w:t>
      </w:r>
    </w:p>
    <w:p w14:paraId="3CE811BA">
      <w:pPr>
        <w:spacing w:line="360" w:lineRule="auto"/>
        <w:jc w:val="left"/>
        <w:rPr>
          <w:rFonts w:hint="eastAsia" w:ascii="宋体" w:hAnsi="宋体" w:cs="宋体"/>
          <w:sz w:val="24"/>
        </w:rPr>
      </w:pPr>
      <w:r>
        <w:rPr>
          <w:rFonts w:hint="eastAsia" w:ascii="宋体" w:hAnsi="宋体" w:cs="宋体"/>
          <w:sz w:val="24"/>
        </w:rPr>
        <w:t>主办单位：河北经贸大学经济管理学院实践教学部</w:t>
      </w:r>
    </w:p>
    <w:p w14:paraId="3675F07B">
      <w:pPr>
        <w:spacing w:line="360" w:lineRule="auto"/>
        <w:jc w:val="left"/>
        <w:rPr>
          <w:rFonts w:hint="eastAsia" w:ascii="宋体" w:hAnsi="宋体" w:cs="宋体"/>
          <w:sz w:val="24"/>
        </w:rPr>
      </w:pPr>
      <w:r>
        <w:rPr>
          <w:rFonts w:hint="eastAsia" w:ascii="宋体" w:hAnsi="宋体" w:cs="宋体"/>
          <w:sz w:val="24"/>
        </w:rPr>
        <w:t>承办单位：河北经贸大学经济管理学院经济系</w:t>
      </w:r>
    </w:p>
    <w:p w14:paraId="12ABF7A3">
      <w:pPr>
        <w:spacing w:line="360" w:lineRule="auto"/>
        <w:jc w:val="left"/>
        <w:rPr>
          <w:rFonts w:hint="eastAsia" w:ascii="宋体" w:hAnsi="宋体" w:cs="宋体"/>
          <w:sz w:val="24"/>
        </w:rPr>
      </w:pPr>
      <w:r>
        <w:rPr>
          <w:rFonts w:hint="eastAsia" w:ascii="宋体" w:hAnsi="宋体" w:cs="宋体"/>
          <w:sz w:val="24"/>
        </w:rPr>
        <w:t>技术支持单位：深圳希施玛数据科技有限公司</w:t>
      </w:r>
    </w:p>
    <w:p w14:paraId="1051A1D3">
      <w:pPr>
        <w:spacing w:line="360" w:lineRule="auto"/>
        <w:jc w:val="left"/>
        <w:rPr>
          <w:rFonts w:ascii="黑体" w:hAnsi="黑体" w:eastAsia="黑体" w:cs="黑体"/>
          <w:bCs/>
          <w:sz w:val="32"/>
          <w:szCs w:val="32"/>
        </w:rPr>
      </w:pPr>
      <w:r>
        <w:rPr>
          <w:rFonts w:hint="eastAsia" w:ascii="宋体" w:hAnsi="宋体" w:cs="宋体"/>
          <w:sz w:val="24"/>
        </w:rPr>
        <w:t xml:space="preserve"> </w:t>
      </w:r>
      <w:r>
        <w:rPr>
          <w:rFonts w:hint="eastAsia" w:ascii="黑体" w:hAnsi="黑体" w:eastAsia="黑体" w:cs="黑体"/>
          <w:bCs/>
          <w:sz w:val="32"/>
          <w:szCs w:val="32"/>
        </w:rPr>
        <w:t>三、参赛对象</w:t>
      </w:r>
    </w:p>
    <w:p w14:paraId="26B9CCA8">
      <w:pPr>
        <w:spacing w:line="560" w:lineRule="exact"/>
        <w:ind w:firstLine="480" w:firstLineChars="200"/>
        <w:rPr>
          <w:rFonts w:ascii="宋体" w:hAnsi="宋体" w:cs="宋体"/>
          <w:sz w:val="24"/>
        </w:rPr>
      </w:pPr>
      <w:r>
        <w:rPr>
          <w:rFonts w:hint="eastAsia" w:ascii="宋体" w:hAnsi="宋体" w:cs="宋体"/>
          <w:sz w:val="24"/>
        </w:rPr>
        <w:t>全体在校学生</w:t>
      </w:r>
    </w:p>
    <w:p w14:paraId="40ED1AEE">
      <w:pPr>
        <w:spacing w:line="360" w:lineRule="auto"/>
        <w:jc w:val="left"/>
        <w:rPr>
          <w:rFonts w:ascii="黑体" w:hAnsi="黑体" w:eastAsia="黑体" w:cs="黑体"/>
          <w:bCs/>
          <w:sz w:val="32"/>
          <w:szCs w:val="32"/>
        </w:rPr>
      </w:pPr>
      <w:r>
        <w:rPr>
          <w:rFonts w:hint="eastAsia" w:ascii="黑体" w:hAnsi="黑体" w:eastAsia="黑体" w:cs="黑体"/>
          <w:bCs/>
          <w:sz w:val="32"/>
          <w:szCs w:val="32"/>
        </w:rPr>
        <w:t>四、竞赛形式</w:t>
      </w:r>
    </w:p>
    <w:p w14:paraId="632EE464">
      <w:pPr>
        <w:spacing w:line="560" w:lineRule="exact"/>
        <w:ind w:firstLine="480" w:firstLineChars="200"/>
        <w:rPr>
          <w:rFonts w:ascii="宋体" w:hAnsi="宋体" w:cs="宋体"/>
          <w:sz w:val="24"/>
        </w:rPr>
      </w:pPr>
      <w:r>
        <w:rPr>
          <w:rFonts w:hint="eastAsia" w:ascii="宋体" w:hAnsi="宋体" w:cs="宋体"/>
          <w:sz w:val="24"/>
        </w:rPr>
        <w:t>本次大赛采用个人赛制，单人单组。</w:t>
      </w:r>
    </w:p>
    <w:p w14:paraId="18FCB88E">
      <w:pPr>
        <w:spacing w:line="560" w:lineRule="exact"/>
        <w:ind w:firstLine="480" w:firstLineChars="200"/>
        <w:rPr>
          <w:rFonts w:ascii="宋体" w:hAnsi="宋体" w:cs="宋体"/>
          <w:sz w:val="24"/>
        </w:rPr>
      </w:pPr>
      <w:r>
        <w:rPr>
          <w:rFonts w:hint="eastAsia" w:ascii="宋体" w:hAnsi="宋体" w:cs="宋体"/>
          <w:sz w:val="24"/>
        </w:rPr>
        <w:t>竞赛以线上方式进行。</w:t>
      </w:r>
    </w:p>
    <w:p w14:paraId="3240EC77">
      <w:pPr>
        <w:spacing w:line="360" w:lineRule="auto"/>
        <w:jc w:val="left"/>
        <w:rPr>
          <w:rFonts w:ascii="黑体" w:hAnsi="黑体" w:eastAsia="黑体" w:cs="黑体"/>
          <w:bCs/>
          <w:sz w:val="32"/>
          <w:szCs w:val="32"/>
        </w:rPr>
      </w:pPr>
      <w:r>
        <w:rPr>
          <w:rFonts w:hint="eastAsia" w:ascii="黑体" w:hAnsi="黑体" w:eastAsia="黑体" w:cs="黑体"/>
          <w:bCs/>
          <w:sz w:val="32"/>
          <w:szCs w:val="32"/>
        </w:rPr>
        <w:t>五、竞赛内容</w:t>
      </w:r>
    </w:p>
    <w:p w14:paraId="7FBC52A4">
      <w:pPr>
        <w:adjustRightInd w:val="0"/>
        <w:snapToGrid w:val="0"/>
        <w:spacing w:line="360" w:lineRule="auto"/>
        <w:ind w:firstLine="480" w:firstLineChars="200"/>
        <w:rPr>
          <w:rFonts w:ascii="宋体" w:hAnsi="宋体" w:cs="宋体"/>
          <w:sz w:val="24"/>
        </w:rPr>
      </w:pPr>
      <w:r>
        <w:rPr>
          <w:rFonts w:hint="eastAsia" w:ascii="宋体" w:hAnsi="宋体" w:cs="宋体"/>
          <w:sz w:val="24"/>
        </w:rPr>
        <w:t>利用希施玛证券投资实训系统，对接中国证券市场实时数据，进行模拟投资。比赛开始后，系统为每个参赛者提供一笔数额相同初始资金，由参赛者根据自己平时所学的知识，分析市场行情，制定交易策略，进行模拟投资。此部分由希施玛证券投资实训系统进行自动评分。根据操作分进行排名。</w:t>
      </w:r>
    </w:p>
    <w:p w14:paraId="76BB4D5E">
      <w:pPr>
        <w:spacing w:line="360" w:lineRule="auto"/>
        <w:jc w:val="left"/>
        <w:rPr>
          <w:rFonts w:ascii="黑体" w:hAnsi="黑体" w:eastAsia="黑体" w:cs="黑体"/>
          <w:bCs/>
          <w:sz w:val="32"/>
          <w:szCs w:val="32"/>
        </w:rPr>
      </w:pPr>
      <w:r>
        <w:rPr>
          <w:rFonts w:hint="eastAsia" w:ascii="黑体" w:hAnsi="黑体" w:eastAsia="黑体" w:cs="黑体"/>
          <w:bCs/>
          <w:sz w:val="32"/>
          <w:szCs w:val="32"/>
        </w:rPr>
        <w:t>六、竞赛日程</w:t>
      </w:r>
    </w:p>
    <w:p w14:paraId="0A940FA7">
      <w:pPr>
        <w:numPr>
          <w:ilvl w:val="0"/>
          <w:numId w:val="3"/>
        </w:numPr>
        <w:spacing w:line="560" w:lineRule="exact"/>
        <w:ind w:firstLine="482" w:firstLineChars="200"/>
        <w:rPr>
          <w:rFonts w:ascii="宋体" w:hAnsi="宋体" w:cs="宋体"/>
          <w:b/>
          <w:bCs/>
          <w:sz w:val="24"/>
        </w:rPr>
      </w:pPr>
      <w:r>
        <w:rPr>
          <w:rFonts w:hint="eastAsia" w:ascii="宋体" w:hAnsi="宋体" w:cs="宋体"/>
          <w:b/>
          <w:bCs/>
          <w:sz w:val="24"/>
        </w:rPr>
        <w:t>报名阶段</w:t>
      </w:r>
    </w:p>
    <w:p w14:paraId="6D2940EC">
      <w:pPr>
        <w:numPr>
          <w:ilvl w:val="0"/>
          <w:numId w:val="4"/>
        </w:numPr>
        <w:spacing w:line="560" w:lineRule="exact"/>
        <w:ind w:firstLine="480" w:firstLineChars="200"/>
        <w:rPr>
          <w:rFonts w:ascii="宋体" w:hAnsi="宋体" w:cs="宋体"/>
          <w:sz w:val="24"/>
        </w:rPr>
      </w:pPr>
      <w:bookmarkStart w:id="10" w:name="_GoBack"/>
      <w:r>
        <w:rPr>
          <w:rFonts w:hint="eastAsia" w:ascii="宋体" w:hAnsi="宋体" w:cs="宋体"/>
          <w:sz w:val="24"/>
        </w:rPr>
        <w:drawing>
          <wp:anchor distT="0" distB="0" distL="114300" distR="114300" simplePos="0" relativeHeight="251659264" behindDoc="0" locked="0" layoutInCell="1" allowOverlap="1">
            <wp:simplePos x="0" y="0"/>
            <wp:positionH relativeFrom="column">
              <wp:posOffset>1605915</wp:posOffset>
            </wp:positionH>
            <wp:positionV relativeFrom="paragraph">
              <wp:posOffset>911860</wp:posOffset>
            </wp:positionV>
            <wp:extent cx="1884680" cy="2310130"/>
            <wp:effectExtent l="0" t="0" r="20320" b="1270"/>
            <wp:wrapTopAndBottom/>
            <wp:docPr id="9" name="图片 9" descr="截屏2026-05-11 14.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截屏2026-05-11 14.27.36"/>
                    <pic:cNvPicPr>
                      <a:picLocks noChangeAspect="1"/>
                    </pic:cNvPicPr>
                  </pic:nvPicPr>
                  <pic:blipFill>
                    <a:blip r:embed="rId5"/>
                    <a:stretch>
                      <a:fillRect/>
                    </a:stretch>
                  </pic:blipFill>
                  <pic:spPr>
                    <a:xfrm>
                      <a:off x="0" y="0"/>
                      <a:ext cx="1884680" cy="2310130"/>
                    </a:xfrm>
                    <a:prstGeom prst="rect">
                      <a:avLst/>
                    </a:prstGeom>
                  </pic:spPr>
                </pic:pic>
              </a:graphicData>
            </a:graphic>
          </wp:anchor>
        </w:drawing>
      </w:r>
      <w:bookmarkEnd w:id="10"/>
      <w:r>
        <w:rPr>
          <w:rFonts w:hint="eastAsia" w:ascii="宋体" w:hAnsi="宋体" w:cs="宋体"/>
          <w:sz w:val="24"/>
        </w:rPr>
        <w:t>各参赛人加入竞赛官方QQ群（群号：1103015982），通过填写群内腾讯文档的信息表，进行报名。报名信息一经确认，整个赛程不再更改。</w:t>
      </w:r>
    </w:p>
    <w:p w14:paraId="62AC93F8">
      <w:pPr>
        <w:spacing w:line="560" w:lineRule="exact"/>
        <w:ind w:firstLine="480" w:firstLineChars="200"/>
        <w:rPr>
          <w:rFonts w:ascii="宋体" w:hAnsi="宋体" w:cs="宋体"/>
          <w:sz w:val="24"/>
        </w:rPr>
      </w:pPr>
      <w:r>
        <w:rPr>
          <w:rFonts w:hint="eastAsia" w:ascii="宋体" w:hAnsi="宋体" w:cs="宋体"/>
          <w:sz w:val="24"/>
        </w:rPr>
        <w:t>2. 大赛组委会将在5月18日竞赛开始之前统一开设账号并发送到参赛者手中。</w:t>
      </w:r>
    </w:p>
    <w:p w14:paraId="11B58310">
      <w:pPr>
        <w:spacing w:line="560" w:lineRule="exact"/>
        <w:ind w:firstLine="480" w:firstLineChars="200"/>
        <w:rPr>
          <w:rFonts w:ascii="宋体" w:hAnsi="宋体" w:cs="宋体"/>
          <w:sz w:val="24"/>
        </w:rPr>
      </w:pPr>
      <w:r>
        <w:rPr>
          <w:rFonts w:hint="eastAsia" w:ascii="宋体" w:hAnsi="宋体" w:cs="宋体"/>
          <w:sz w:val="24"/>
        </w:rPr>
        <w:t>3. 报名时间：2026年5月17日20:00之前。</w:t>
      </w:r>
    </w:p>
    <w:p w14:paraId="7B71BADA">
      <w:pPr>
        <w:numPr>
          <w:ilvl w:val="0"/>
          <w:numId w:val="3"/>
        </w:numPr>
        <w:spacing w:line="560" w:lineRule="exact"/>
        <w:ind w:firstLine="482" w:firstLineChars="200"/>
        <w:rPr>
          <w:rFonts w:ascii="宋体" w:hAnsi="宋体" w:cs="宋体"/>
          <w:b/>
          <w:bCs/>
          <w:sz w:val="24"/>
        </w:rPr>
      </w:pPr>
      <w:bookmarkStart w:id="1" w:name="_Toc26782842"/>
      <w:r>
        <w:rPr>
          <w:rFonts w:hint="eastAsia" w:ascii="宋体" w:hAnsi="宋体" w:cs="宋体"/>
          <w:b/>
          <w:bCs/>
          <w:sz w:val="24"/>
        </w:rPr>
        <w:t>证券投资虚拟仿真交易阶段</w:t>
      </w:r>
      <w:bookmarkEnd w:id="1"/>
    </w:p>
    <w:p w14:paraId="551A2652">
      <w:pPr>
        <w:spacing w:line="560" w:lineRule="exact"/>
        <w:ind w:firstLine="480" w:firstLineChars="200"/>
        <w:rPr>
          <w:rFonts w:ascii="宋体" w:hAnsi="宋体" w:cs="宋体"/>
          <w:sz w:val="24"/>
        </w:rPr>
      </w:pPr>
      <w:r>
        <w:rPr>
          <w:rFonts w:hint="eastAsia" w:ascii="宋体" w:hAnsi="宋体" w:cs="宋体"/>
          <w:sz w:val="24"/>
        </w:rPr>
        <w:t>虚拟仿真交易比赛时间：2026年5月19日-2026年6月26日</w:t>
      </w:r>
    </w:p>
    <w:p w14:paraId="673CEBA2">
      <w:pPr>
        <w:spacing w:line="560" w:lineRule="exact"/>
        <w:ind w:firstLine="480" w:firstLineChars="200"/>
        <w:rPr>
          <w:rFonts w:ascii="宋体" w:hAnsi="宋体" w:cs="宋体"/>
          <w:sz w:val="24"/>
        </w:rPr>
      </w:pPr>
      <w:r>
        <w:rPr>
          <w:rFonts w:hint="eastAsia" w:ascii="宋体" w:hAnsi="宋体" w:cs="宋体"/>
          <w:sz w:val="24"/>
        </w:rPr>
        <w:t>开盘时间：周一至周五（节假日休市）9:30-11:30；13：00-15:00。大赛组委会根据2026年6月26日收盘价计算竞赛排名。</w:t>
      </w:r>
    </w:p>
    <w:p w14:paraId="27288982">
      <w:pPr>
        <w:numPr>
          <w:ilvl w:val="0"/>
          <w:numId w:val="3"/>
        </w:numPr>
        <w:spacing w:line="560" w:lineRule="exact"/>
        <w:ind w:firstLine="482" w:firstLineChars="200"/>
        <w:rPr>
          <w:rFonts w:ascii="宋体" w:hAnsi="宋体" w:cs="宋体"/>
          <w:b/>
          <w:bCs/>
          <w:sz w:val="24"/>
        </w:rPr>
      </w:pPr>
      <w:bookmarkStart w:id="2" w:name="_Toc26782843"/>
      <w:r>
        <w:rPr>
          <w:rFonts w:hint="eastAsia" w:ascii="宋体" w:hAnsi="宋体" w:cs="宋体"/>
          <w:b/>
          <w:bCs/>
          <w:sz w:val="24"/>
        </w:rPr>
        <w:t>评审阶段</w:t>
      </w:r>
      <w:bookmarkEnd w:id="2"/>
    </w:p>
    <w:p w14:paraId="59300A08">
      <w:pPr>
        <w:spacing w:line="560" w:lineRule="exact"/>
        <w:ind w:firstLine="480" w:firstLineChars="200"/>
        <w:rPr>
          <w:rFonts w:ascii="宋体" w:hAnsi="宋体" w:cs="宋体"/>
          <w:sz w:val="24"/>
        </w:rPr>
      </w:pPr>
      <w:r>
        <w:rPr>
          <w:rFonts w:hint="eastAsia" w:ascii="宋体" w:hAnsi="宋体" w:cs="宋体"/>
          <w:sz w:val="24"/>
        </w:rPr>
        <w:t>虚拟仿真交易的操作分排名由希施玛证券投资实训系统自动排名</w:t>
      </w:r>
    </w:p>
    <w:p w14:paraId="22FDAB87">
      <w:pPr>
        <w:spacing w:line="360" w:lineRule="auto"/>
        <w:jc w:val="left"/>
        <w:rPr>
          <w:rFonts w:ascii="黑体" w:hAnsi="黑体" w:eastAsia="黑体" w:cs="黑体"/>
          <w:bCs/>
          <w:sz w:val="32"/>
          <w:szCs w:val="32"/>
        </w:rPr>
      </w:pPr>
      <w:r>
        <w:rPr>
          <w:rFonts w:hint="eastAsia" w:ascii="黑体" w:hAnsi="黑体" w:eastAsia="黑体" w:cs="黑体"/>
          <w:bCs/>
          <w:sz w:val="32"/>
          <w:szCs w:val="32"/>
        </w:rPr>
        <w:t>七、奖项设置</w:t>
      </w:r>
    </w:p>
    <w:p w14:paraId="78AA0C9E">
      <w:pPr>
        <w:shd w:val="clear" w:color="auto" w:fill="FFFFFF"/>
        <w:spacing w:line="360" w:lineRule="auto"/>
        <w:ind w:firstLine="480" w:firstLineChars="200"/>
        <w:jc w:val="left"/>
        <w:rPr>
          <w:rFonts w:ascii="宋体" w:hAnsi="宋体" w:cs="宋体"/>
          <w:sz w:val="24"/>
        </w:rPr>
      </w:pPr>
      <w:r>
        <w:rPr>
          <w:rFonts w:hint="eastAsia" w:ascii="宋体" w:hAnsi="宋体" w:cs="宋体"/>
          <w:sz w:val="24"/>
        </w:rPr>
        <w:t>（一）奖项设置</w:t>
      </w:r>
    </w:p>
    <w:p w14:paraId="2EB2FA8B">
      <w:pPr>
        <w:shd w:val="clear" w:color="auto" w:fill="FFFFFF"/>
        <w:spacing w:line="360" w:lineRule="auto"/>
        <w:ind w:firstLine="480" w:firstLineChars="200"/>
        <w:jc w:val="left"/>
        <w:rPr>
          <w:rFonts w:ascii="宋体" w:hAnsi="宋体" w:cs="宋体"/>
          <w:sz w:val="24"/>
        </w:rPr>
      </w:pPr>
      <w:r>
        <w:rPr>
          <w:rFonts w:hint="eastAsia" w:ascii="宋体" w:hAnsi="宋体" w:cs="宋体"/>
          <w:sz w:val="24"/>
        </w:rPr>
        <w:t>校内选拔赛设一等奖、二等奖、三等奖，获奖比例分别为前10%、20%、30%。</w:t>
      </w:r>
    </w:p>
    <w:p w14:paraId="2342649D">
      <w:pPr>
        <w:shd w:val="clear" w:color="auto" w:fill="FFFFFF"/>
        <w:spacing w:line="360" w:lineRule="auto"/>
        <w:ind w:firstLine="480" w:firstLineChars="200"/>
        <w:jc w:val="left"/>
        <w:rPr>
          <w:rFonts w:ascii="宋体" w:hAnsi="宋体" w:cs="宋体"/>
          <w:sz w:val="24"/>
        </w:rPr>
      </w:pPr>
      <w:r>
        <w:rPr>
          <w:rFonts w:hint="eastAsia" w:ascii="宋体" w:hAnsi="宋体" w:cs="宋体"/>
          <w:sz w:val="24"/>
        </w:rPr>
        <w:t>（二）素质拓展分或综测分认定</w:t>
      </w:r>
    </w:p>
    <w:p w14:paraId="451AA4C4">
      <w:pPr>
        <w:ind w:firstLine="480" w:firstLineChars="200"/>
        <w:rPr>
          <w:rFonts w:ascii="宋体" w:hAnsi="宋体" w:cs="宋体"/>
          <w:sz w:val="24"/>
        </w:rPr>
      </w:pPr>
      <w:r>
        <w:rPr>
          <w:rFonts w:hint="eastAsia" w:ascii="宋体" w:hAnsi="宋体" w:cs="宋体"/>
          <w:sz w:val="24"/>
        </w:rPr>
        <w:t>按照学校相关文件认定。</w:t>
      </w:r>
    </w:p>
    <w:p w14:paraId="2A2FC2DB">
      <w:pPr>
        <w:spacing w:line="360" w:lineRule="auto"/>
        <w:jc w:val="left"/>
        <w:rPr>
          <w:rFonts w:ascii="黑体" w:hAnsi="黑体" w:eastAsia="黑体" w:cs="黑体"/>
          <w:bCs/>
          <w:sz w:val="32"/>
          <w:szCs w:val="32"/>
        </w:rPr>
      </w:pPr>
      <w:bookmarkStart w:id="3" w:name="_Toc446687833"/>
      <w:r>
        <w:rPr>
          <w:rFonts w:hint="eastAsia" w:ascii="黑体" w:hAnsi="黑体" w:eastAsia="黑体" w:cs="黑体"/>
          <w:bCs/>
          <w:sz w:val="32"/>
          <w:szCs w:val="32"/>
        </w:rPr>
        <w:t>八、参赛指引</w:t>
      </w:r>
    </w:p>
    <w:p w14:paraId="05530243">
      <w:pPr>
        <w:numPr>
          <w:ilvl w:val="0"/>
          <w:numId w:val="5"/>
        </w:num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竞赛登录地址：</w:t>
      </w:r>
      <w:r>
        <w:rPr>
          <w:rFonts w:ascii="宋体" w:hAnsi="宋体"/>
          <w:color w:val="000000"/>
          <w:sz w:val="24"/>
          <w:u w:val="single"/>
        </w:rPr>
        <w:t>https://vetp.csmar.com/#/index</w:t>
      </w:r>
    </w:p>
    <w:p w14:paraId="5C8A6861">
      <w:pPr>
        <w:numPr>
          <w:ilvl w:val="0"/>
          <w:numId w:val="5"/>
        </w:num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点击首页“点击进入大赛”按钮</w:t>
      </w:r>
    </w:p>
    <w:p w14:paraId="44D3393D">
      <w:pPr>
        <w:adjustRightInd w:val="0"/>
        <w:snapToGrid w:val="0"/>
        <w:spacing w:line="360" w:lineRule="auto"/>
        <w:rPr>
          <w:sz w:val="24"/>
          <w:szCs w:val="32"/>
        </w:rPr>
      </w:pPr>
      <w:r>
        <w:rPr>
          <w:sz w:val="24"/>
          <w:szCs w:val="32"/>
        </w:rPr>
        <w:drawing>
          <wp:inline distT="0" distB="0" distL="114300" distR="114300">
            <wp:extent cx="5270500" cy="2510790"/>
            <wp:effectExtent l="0" t="0" r="12700"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70500" cy="2510790"/>
                    </a:xfrm>
                    <a:prstGeom prst="rect">
                      <a:avLst/>
                    </a:prstGeom>
                    <a:noFill/>
                    <a:ln>
                      <a:noFill/>
                    </a:ln>
                  </pic:spPr>
                </pic:pic>
              </a:graphicData>
            </a:graphic>
          </wp:inline>
        </w:drawing>
      </w:r>
    </w:p>
    <w:p w14:paraId="7647B77E">
      <w:pPr>
        <w:numPr>
          <w:ilvl w:val="0"/>
          <w:numId w:val="5"/>
        </w:num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输入学校分配的账号密码</w:t>
      </w:r>
    </w:p>
    <w:p w14:paraId="385750EA">
      <w:pPr>
        <w:adjustRightInd w:val="0"/>
        <w:snapToGrid w:val="0"/>
        <w:spacing w:line="360" w:lineRule="auto"/>
        <w:rPr>
          <w:sz w:val="24"/>
          <w:szCs w:val="32"/>
        </w:rPr>
      </w:pPr>
      <w:r>
        <w:rPr>
          <w:sz w:val="24"/>
          <w:szCs w:val="32"/>
        </w:rPr>
        <w:drawing>
          <wp:inline distT="0" distB="0" distL="114300" distR="114300">
            <wp:extent cx="5270500" cy="2510790"/>
            <wp:effectExtent l="0" t="0" r="12700" b="381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a:stretch>
                      <a:fillRect/>
                    </a:stretch>
                  </pic:blipFill>
                  <pic:spPr>
                    <a:xfrm>
                      <a:off x="0" y="0"/>
                      <a:ext cx="5270500" cy="2510790"/>
                    </a:xfrm>
                    <a:prstGeom prst="rect">
                      <a:avLst/>
                    </a:prstGeom>
                    <a:noFill/>
                    <a:ln>
                      <a:noFill/>
                    </a:ln>
                  </pic:spPr>
                </pic:pic>
              </a:graphicData>
            </a:graphic>
          </wp:inline>
        </w:drawing>
      </w:r>
    </w:p>
    <w:p w14:paraId="08C7E951">
      <w:pPr>
        <w:numPr>
          <w:ilvl w:val="0"/>
          <w:numId w:val="5"/>
        </w:num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成功登录系统后点击“个人中心-我的大赛-可报名的竞赛-口令报名”输入口令“</w:t>
      </w:r>
      <w:r>
        <w:rPr>
          <w:rFonts w:hint="eastAsia"/>
        </w:rPr>
        <w:t>0F848B</w:t>
      </w:r>
      <w:r>
        <w:rPr>
          <w:rFonts w:hint="eastAsia" w:ascii="宋体" w:hAnsi="宋体"/>
          <w:color w:val="000000"/>
          <w:sz w:val="24"/>
        </w:rPr>
        <w:t>”进行报名，报名成功后即可在竞赛开始时间内切换为该比赛进行相关投资操作。</w:t>
      </w:r>
    </w:p>
    <w:p w14:paraId="784E86C3">
      <w:pPr>
        <w:adjustRightInd w:val="0"/>
        <w:snapToGrid w:val="0"/>
        <w:spacing w:line="360" w:lineRule="auto"/>
        <w:rPr>
          <w:sz w:val="24"/>
          <w:szCs w:val="32"/>
        </w:rPr>
      </w:pPr>
    </w:p>
    <w:p w14:paraId="7794EBD6">
      <w:pPr>
        <w:adjustRightInd w:val="0"/>
        <w:snapToGrid w:val="0"/>
        <w:spacing w:line="360" w:lineRule="auto"/>
        <w:jc w:val="right"/>
        <w:rPr>
          <w:sz w:val="24"/>
          <w:szCs w:val="32"/>
        </w:rPr>
      </w:pPr>
    </w:p>
    <w:bookmarkEnd w:id="3"/>
    <w:p w14:paraId="3282ED63">
      <w:pPr>
        <w:widowControl/>
        <w:spacing w:line="360" w:lineRule="auto"/>
        <w:jc w:val="right"/>
        <w:rPr>
          <w:rFonts w:hint="eastAsia" w:ascii="宋体" w:hAnsi="宋体"/>
          <w:color w:val="000000"/>
          <w:sz w:val="24"/>
          <w:lang w:val="en-US" w:eastAsia="zh-CN"/>
        </w:rPr>
      </w:pPr>
      <w:r>
        <w:rPr>
          <w:rFonts w:hint="eastAsia" w:ascii="宋体" w:hAnsi="宋体"/>
          <w:color w:val="000000"/>
          <w:sz w:val="24"/>
        </w:rPr>
        <w:t>河北经贸大学经济管理学院</w:t>
      </w:r>
      <w:r>
        <w:rPr>
          <w:rFonts w:hint="eastAsia" w:ascii="宋体" w:hAnsi="宋体"/>
          <w:color w:val="000000"/>
          <w:sz w:val="24"/>
          <w:lang w:val="en-US" w:eastAsia="zh-CN"/>
        </w:rPr>
        <w:t>实践教学部</w:t>
      </w:r>
    </w:p>
    <w:p w14:paraId="5E5E8ABB">
      <w:pPr>
        <w:widowControl/>
        <w:spacing w:line="360" w:lineRule="auto"/>
        <w:jc w:val="right"/>
        <w:rPr>
          <w:rFonts w:hint="eastAsia" w:ascii="宋体" w:hAnsi="宋体"/>
          <w:color w:val="000000"/>
          <w:sz w:val="24"/>
          <w:lang w:val="en-US" w:eastAsia="zh-CN"/>
        </w:rPr>
      </w:pPr>
      <w:r>
        <w:rPr>
          <w:rFonts w:hint="eastAsia" w:ascii="宋体" w:hAnsi="宋体"/>
          <w:color w:val="000000"/>
          <w:sz w:val="24"/>
        </w:rPr>
        <w:t>河北经贸大学经济管理学院</w:t>
      </w:r>
      <w:r>
        <w:rPr>
          <w:rFonts w:hint="eastAsia" w:ascii="宋体" w:hAnsi="宋体"/>
          <w:color w:val="000000"/>
          <w:sz w:val="24"/>
          <w:lang w:val="en-US" w:eastAsia="zh-CN"/>
        </w:rPr>
        <w:t>经济系</w:t>
      </w:r>
    </w:p>
    <w:p w14:paraId="63D9CFC5">
      <w:pPr>
        <w:widowControl/>
        <w:spacing w:line="360" w:lineRule="auto"/>
        <w:jc w:val="right"/>
        <w:rPr>
          <w:rFonts w:ascii="宋体" w:hAnsi="宋体"/>
          <w:color w:val="000000"/>
          <w:sz w:val="24"/>
        </w:rPr>
      </w:pPr>
      <w:r>
        <w:rPr>
          <w:rFonts w:hint="eastAsia" w:ascii="宋体" w:hAnsi="宋体"/>
          <w:color w:val="000000"/>
          <w:sz w:val="24"/>
        </w:rPr>
        <w:t>2026年5月11日</w:t>
      </w:r>
    </w:p>
    <w:p w14:paraId="3604AC7B">
      <w:pPr>
        <w:spacing w:line="360" w:lineRule="auto"/>
        <w:rPr>
          <w:rFonts w:ascii="黑体" w:hAnsi="黑体" w:eastAsia="黑体" w:cs="黑体"/>
          <w:color w:val="000000"/>
          <w:sz w:val="32"/>
          <w:szCs w:val="32"/>
        </w:rPr>
      </w:pPr>
      <w:r>
        <w:rPr>
          <w:rFonts w:hint="eastAsia" w:ascii="黑体" w:hAnsi="黑体" w:eastAsia="黑体" w:cs="黑体"/>
          <w:color w:val="000000"/>
          <w:sz w:val="32"/>
          <w:szCs w:val="32"/>
        </w:rPr>
        <w:br w:type="page"/>
      </w:r>
    </w:p>
    <w:p w14:paraId="6C59C472">
      <w:pPr>
        <w:spacing w:line="360" w:lineRule="auto"/>
        <w:jc w:val="left"/>
        <w:rPr>
          <w:rFonts w:ascii="宋体" w:hAnsi="宋体" w:cs="宋体"/>
          <w:sz w:val="32"/>
          <w:szCs w:val="32"/>
        </w:rPr>
      </w:pPr>
      <w:r>
        <w:rPr>
          <w:rFonts w:hint="eastAsia" w:ascii="黑体" w:hAnsi="黑体" w:eastAsia="黑体" w:cs="黑体"/>
          <w:color w:val="000000"/>
          <w:sz w:val="32"/>
          <w:szCs w:val="32"/>
        </w:rPr>
        <w:t>附件1:交易规则及评分标准及细则</w:t>
      </w:r>
    </w:p>
    <w:p w14:paraId="4AD23A7B">
      <w:pPr>
        <w:pStyle w:val="2"/>
        <w:numPr>
          <w:ilvl w:val="0"/>
          <w:numId w:val="0"/>
        </w:numPr>
        <w:adjustRightInd w:val="0"/>
        <w:snapToGrid w:val="0"/>
        <w:ind w:left="420"/>
        <w:rPr>
          <w:rFonts w:ascii="宋体" w:hAnsi="宋体" w:eastAsia="宋体"/>
          <w:color w:val="000000"/>
          <w:sz w:val="24"/>
          <w:szCs w:val="24"/>
        </w:rPr>
      </w:pPr>
      <w:bookmarkStart w:id="4" w:name="_Toc26782845"/>
      <w:r>
        <w:rPr>
          <w:rFonts w:hint="eastAsia" w:ascii="宋体" w:hAnsi="宋体" w:eastAsia="宋体"/>
          <w:color w:val="000000"/>
          <w:sz w:val="24"/>
          <w:szCs w:val="24"/>
        </w:rPr>
        <w:t>一、交易规则</w:t>
      </w:r>
      <w:bookmarkEnd w:id="4"/>
    </w:p>
    <w:p w14:paraId="7E1A5E44">
      <w:pPr>
        <w:pStyle w:val="4"/>
        <w:adjustRightInd w:val="0"/>
        <w:snapToGrid w:val="0"/>
        <w:spacing w:line="360" w:lineRule="auto"/>
        <w:ind w:left="0" w:firstLine="480" w:firstLineChars="200"/>
        <w:jc w:val="both"/>
        <w:rPr>
          <w:rFonts w:cs="Times New Roman"/>
          <w:color w:val="000000"/>
          <w:kern w:val="2"/>
          <w:sz w:val="24"/>
          <w:szCs w:val="24"/>
          <w:lang w:val="en-US" w:bidi="ar-SA"/>
        </w:rPr>
      </w:pPr>
      <w:r>
        <w:rPr>
          <w:rFonts w:hint="eastAsia" w:cs="Times New Roman"/>
          <w:color w:val="000000"/>
          <w:kern w:val="2"/>
          <w:sz w:val="24"/>
          <w:szCs w:val="24"/>
          <w:lang w:val="en-US" w:bidi="ar-SA"/>
        </w:rPr>
        <w:t>初始资金：人民币1,500,000.00元（一百五万整）/每人，其中股票类初始资金1,000,000.00元，金融期货初始资金100,000.00元，商品期货初始资金100,000.00元，个股期权初始资金100,000.00元，股指期权初始资金100,000.00元，商品期权初始资金100,000.00元。</w:t>
      </w:r>
    </w:p>
    <w:p w14:paraId="549F51E2">
      <w:pPr>
        <w:pStyle w:val="10"/>
        <w:adjustRightInd w:val="0"/>
        <w:snapToGrid w:val="0"/>
        <w:spacing w:line="360" w:lineRule="auto"/>
        <w:ind w:firstLine="482"/>
        <w:rPr>
          <w:rFonts w:ascii="宋体" w:hAnsi="宋体"/>
          <w:b/>
          <w:color w:val="000000"/>
          <w:sz w:val="24"/>
        </w:rPr>
      </w:pPr>
      <w:r>
        <w:rPr>
          <w:rFonts w:hint="eastAsia" w:ascii="宋体" w:hAnsi="宋体"/>
          <w:b/>
          <w:color w:val="000000"/>
          <w:sz w:val="24"/>
        </w:rPr>
        <w:t>交易范围</w:t>
      </w:r>
    </w:p>
    <w:p w14:paraId="7F153C9D">
      <w:pPr>
        <w:pStyle w:val="4"/>
        <w:adjustRightInd w:val="0"/>
        <w:snapToGrid w:val="0"/>
        <w:spacing w:line="360" w:lineRule="auto"/>
        <w:ind w:left="0" w:firstLine="480" w:firstLineChars="200"/>
        <w:jc w:val="both"/>
        <w:rPr>
          <w:sz w:val="24"/>
          <w:szCs w:val="24"/>
          <w:lang w:val="en-US"/>
        </w:rPr>
      </w:pPr>
      <w:r>
        <w:rPr>
          <w:rFonts w:hint="eastAsia"/>
          <w:sz w:val="24"/>
          <w:szCs w:val="24"/>
          <w:lang w:val="en-US"/>
        </w:rPr>
        <w:t>沪深京股票、基金、债券、金融期货、商品期货、个股期权、股指期权、商品期权。</w:t>
      </w:r>
    </w:p>
    <w:p w14:paraId="6CC35A5A">
      <w:pPr>
        <w:pStyle w:val="10"/>
        <w:numPr>
          <w:ilvl w:val="0"/>
          <w:numId w:val="6"/>
        </w:numPr>
        <w:adjustRightInd w:val="0"/>
        <w:snapToGrid w:val="0"/>
        <w:spacing w:line="360" w:lineRule="auto"/>
        <w:ind w:left="0" w:firstLine="482"/>
        <w:rPr>
          <w:rFonts w:ascii="宋体" w:hAnsi="宋体"/>
          <w:b/>
          <w:color w:val="000000"/>
          <w:sz w:val="24"/>
        </w:rPr>
      </w:pPr>
      <w:r>
        <w:rPr>
          <w:rFonts w:hint="eastAsia" w:ascii="宋体" w:hAnsi="宋体"/>
          <w:b/>
          <w:color w:val="000000"/>
          <w:sz w:val="24"/>
        </w:rPr>
        <w:t xml:space="preserve">交易时间 </w:t>
      </w:r>
    </w:p>
    <w:p w14:paraId="1D6E308C">
      <w:pPr>
        <w:pStyle w:val="10"/>
        <w:adjustRightInd w:val="0"/>
        <w:snapToGrid w:val="0"/>
        <w:spacing w:line="360" w:lineRule="auto"/>
        <w:ind w:firstLine="480"/>
        <w:rPr>
          <w:rFonts w:ascii="宋体" w:hAnsi="宋体"/>
          <w:color w:val="000000"/>
          <w:sz w:val="24"/>
        </w:rPr>
      </w:pPr>
      <w:r>
        <w:rPr>
          <w:rFonts w:hint="eastAsia" w:ascii="宋体" w:hAnsi="宋体"/>
          <w:color w:val="000000"/>
          <w:sz w:val="24"/>
        </w:rPr>
        <w:t>本竞赛接受</w:t>
      </w:r>
      <w:r>
        <w:rPr>
          <w:rFonts w:ascii="宋体" w:hAnsi="宋体"/>
          <w:color w:val="000000"/>
          <w:sz w:val="24"/>
        </w:rPr>
        <w:t>24小时委托，当日清算后的委托为第二天的委托，在收盘到清算结束时间段内（约1</w:t>
      </w:r>
      <w:r>
        <w:rPr>
          <w:rFonts w:hint="eastAsia" w:ascii="宋体" w:hAnsi="宋体"/>
          <w:color w:val="000000"/>
          <w:sz w:val="24"/>
        </w:rPr>
        <w:t>6</w:t>
      </w:r>
      <w:r>
        <w:rPr>
          <w:rFonts w:ascii="宋体" w:hAnsi="宋体"/>
          <w:color w:val="000000"/>
          <w:sz w:val="24"/>
        </w:rPr>
        <w:t>:</w:t>
      </w:r>
      <w:r>
        <w:rPr>
          <w:rFonts w:hint="eastAsia" w:ascii="宋体" w:hAnsi="宋体"/>
          <w:color w:val="000000"/>
          <w:sz w:val="24"/>
        </w:rPr>
        <w:t>3</w:t>
      </w:r>
      <w:r>
        <w:rPr>
          <w:rFonts w:ascii="宋体" w:hAnsi="宋体"/>
          <w:color w:val="000000"/>
          <w:sz w:val="24"/>
        </w:rPr>
        <w:t>0-1</w:t>
      </w:r>
      <w:r>
        <w:rPr>
          <w:rFonts w:hint="eastAsia" w:ascii="宋体" w:hAnsi="宋体"/>
          <w:color w:val="000000"/>
          <w:sz w:val="24"/>
        </w:rPr>
        <w:t>7</w:t>
      </w:r>
      <w:r>
        <w:rPr>
          <w:rFonts w:ascii="宋体" w:hAnsi="宋体"/>
          <w:color w:val="000000"/>
          <w:sz w:val="24"/>
        </w:rPr>
        <w:t>:00</w:t>
      </w:r>
      <w:r>
        <w:rPr>
          <w:rFonts w:hint="eastAsia" w:ascii="宋体" w:hAnsi="宋体"/>
          <w:color w:val="000000"/>
          <w:sz w:val="24"/>
        </w:rPr>
        <w:t>）的单可能无效，请掌握好时间，尽量不要在该时间段内下单。撮合时间为沪深交易所的正常交易日的交易时间：</w:t>
      </w:r>
      <w:r>
        <w:rPr>
          <w:rFonts w:ascii="宋体" w:hAnsi="宋体"/>
          <w:color w:val="000000"/>
          <w:sz w:val="24"/>
        </w:rPr>
        <w:t>9：30—1</w:t>
      </w:r>
      <w:r>
        <w:rPr>
          <w:rFonts w:hint="eastAsia" w:ascii="宋体" w:hAnsi="宋体"/>
          <w:color w:val="000000"/>
          <w:sz w:val="24"/>
        </w:rPr>
        <w:t>1</w:t>
      </w:r>
      <w:r>
        <w:rPr>
          <w:rFonts w:ascii="宋体" w:hAnsi="宋体"/>
          <w:color w:val="000000"/>
          <w:sz w:val="24"/>
        </w:rPr>
        <w:t>：30，13：00—15：00；</w:t>
      </w:r>
    </w:p>
    <w:p w14:paraId="27493C75">
      <w:pPr>
        <w:pStyle w:val="10"/>
        <w:numPr>
          <w:ilvl w:val="0"/>
          <w:numId w:val="6"/>
        </w:numPr>
        <w:adjustRightInd w:val="0"/>
        <w:snapToGrid w:val="0"/>
        <w:spacing w:line="360" w:lineRule="auto"/>
        <w:ind w:left="0" w:firstLine="482"/>
        <w:rPr>
          <w:rFonts w:ascii="宋体" w:hAnsi="宋体"/>
          <w:color w:val="000000"/>
          <w:sz w:val="24"/>
        </w:rPr>
      </w:pPr>
      <w:r>
        <w:rPr>
          <w:rFonts w:hint="eastAsia" w:ascii="宋体" w:hAnsi="宋体"/>
          <w:b/>
          <w:color w:val="000000"/>
          <w:sz w:val="24"/>
        </w:rPr>
        <w:t xml:space="preserve">交易制度 </w:t>
      </w:r>
    </w:p>
    <w:p w14:paraId="3FA126ED">
      <w:pPr>
        <w:adjustRightInd w:val="0"/>
        <w:snapToGrid w:val="0"/>
        <w:spacing w:line="360" w:lineRule="auto"/>
        <w:ind w:firstLine="480" w:firstLineChars="200"/>
        <w:rPr>
          <w:rFonts w:ascii="宋体" w:hAnsi="宋体" w:cs="Arial"/>
          <w:color w:val="000000"/>
          <w:kern w:val="0"/>
          <w:sz w:val="24"/>
        </w:rPr>
      </w:pPr>
      <w:r>
        <w:rPr>
          <w:rFonts w:hint="eastAsia" w:ascii="宋体" w:hAnsi="宋体" w:cs="Arial"/>
          <w:color w:val="000000"/>
          <w:kern w:val="0"/>
          <w:sz w:val="24"/>
        </w:rPr>
        <w:t>（1）</w:t>
      </w:r>
      <w:r>
        <w:rPr>
          <w:rFonts w:hint="eastAsia" w:ascii="宋体" w:hAnsi="宋体"/>
          <w:color w:val="000000"/>
          <w:sz w:val="24"/>
        </w:rPr>
        <w:t>证券投资实训系统</w:t>
      </w:r>
      <w:r>
        <w:rPr>
          <w:rFonts w:ascii="宋体" w:hAnsi="宋体" w:cs="Arial"/>
          <w:color w:val="000000"/>
          <w:kern w:val="0"/>
          <w:sz w:val="24"/>
        </w:rPr>
        <w:t>行情为证券交易的实时行情；</w:t>
      </w:r>
    </w:p>
    <w:p w14:paraId="245F2472">
      <w:pPr>
        <w:adjustRightInd w:val="0"/>
        <w:snapToGrid w:val="0"/>
        <w:spacing w:line="360" w:lineRule="auto"/>
        <w:ind w:firstLine="480" w:firstLineChars="200"/>
        <w:rPr>
          <w:rFonts w:ascii="宋体" w:hAnsi="宋体" w:cs="Arial"/>
          <w:color w:val="000000"/>
          <w:kern w:val="0"/>
          <w:sz w:val="24"/>
        </w:rPr>
      </w:pPr>
      <w:r>
        <w:rPr>
          <w:rFonts w:hint="eastAsia" w:ascii="宋体" w:hAnsi="宋体" w:cs="Arial"/>
          <w:color w:val="000000"/>
          <w:kern w:val="0"/>
          <w:sz w:val="24"/>
        </w:rPr>
        <w:t>（2）参赛者实时只能通过希施玛</w:t>
      </w:r>
      <w:r>
        <w:rPr>
          <w:rFonts w:hint="eastAsia" w:ascii="宋体" w:hAnsi="宋体"/>
          <w:color w:val="000000"/>
          <w:sz w:val="24"/>
        </w:rPr>
        <w:t>证券投资实训系统</w:t>
      </w:r>
      <w:r>
        <w:rPr>
          <w:rFonts w:hint="eastAsia" w:ascii="宋体" w:hAnsi="宋体" w:cs="Arial"/>
          <w:color w:val="000000"/>
          <w:kern w:val="0"/>
          <w:sz w:val="24"/>
        </w:rPr>
        <w:t>下单、查询；</w:t>
      </w:r>
    </w:p>
    <w:p w14:paraId="7105F4CA">
      <w:pPr>
        <w:adjustRightInd w:val="0"/>
        <w:snapToGrid w:val="0"/>
        <w:spacing w:line="360" w:lineRule="auto"/>
        <w:ind w:firstLine="480" w:firstLineChars="200"/>
        <w:rPr>
          <w:rFonts w:ascii="宋体" w:hAnsi="宋体" w:cs="Arial"/>
          <w:color w:val="000000"/>
          <w:kern w:val="0"/>
          <w:sz w:val="24"/>
        </w:rPr>
      </w:pPr>
      <w:r>
        <w:rPr>
          <w:rFonts w:hint="eastAsia" w:ascii="宋体" w:hAnsi="宋体" w:cs="Arial"/>
          <w:color w:val="000000"/>
          <w:kern w:val="0"/>
          <w:sz w:val="24"/>
        </w:rPr>
        <w:t>（3）清算同证券营业部基本一致，即股票、基金证券</w:t>
      </w:r>
      <w:r>
        <w:rPr>
          <w:rFonts w:ascii="宋体" w:hAnsi="宋体" w:cs="Arial"/>
          <w:color w:val="000000"/>
          <w:kern w:val="0"/>
          <w:sz w:val="24"/>
        </w:rPr>
        <w:t>T+1，资金T+0；债券证券</w:t>
      </w:r>
      <w:r>
        <w:rPr>
          <w:rFonts w:hint="eastAsia" w:ascii="宋体" w:hAnsi="宋体" w:cs="Arial"/>
          <w:color w:val="000000"/>
          <w:kern w:val="0"/>
          <w:sz w:val="24"/>
        </w:rPr>
        <w:t>交易</w:t>
      </w:r>
      <w:r>
        <w:rPr>
          <w:rFonts w:ascii="宋体" w:hAnsi="宋体" w:cs="Arial"/>
          <w:color w:val="000000"/>
          <w:kern w:val="0"/>
          <w:sz w:val="24"/>
        </w:rPr>
        <w:t>T+0，</w:t>
      </w:r>
      <w:r>
        <w:rPr>
          <w:rFonts w:hint="eastAsia" w:ascii="宋体" w:hAnsi="宋体" w:cs="Arial"/>
          <w:color w:val="000000"/>
          <w:kern w:val="0"/>
          <w:sz w:val="24"/>
        </w:rPr>
        <w:t>交收</w:t>
      </w:r>
      <w:r>
        <w:rPr>
          <w:rFonts w:ascii="宋体" w:hAnsi="宋体" w:cs="Arial"/>
          <w:color w:val="000000"/>
          <w:kern w:val="0"/>
          <w:sz w:val="24"/>
        </w:rPr>
        <w:t>T+1</w:t>
      </w:r>
      <w:r>
        <w:rPr>
          <w:rFonts w:hint="eastAsia" w:ascii="宋体" w:hAnsi="宋体" w:cs="Arial"/>
          <w:color w:val="000000"/>
          <w:kern w:val="0"/>
          <w:sz w:val="24"/>
        </w:rPr>
        <w:t>。严格遵守价格优先、时间优先原则，同时考虑了真实交易的成交价格及成交数量。交易参数详见系统交易规则模块</w:t>
      </w:r>
      <w:r>
        <w:rPr>
          <w:rFonts w:ascii="宋体" w:hAnsi="宋体" w:cs="Arial"/>
          <w:color w:val="000000"/>
          <w:kern w:val="0"/>
          <w:sz w:val="24"/>
        </w:rPr>
        <w:t>。</w:t>
      </w:r>
    </w:p>
    <w:p w14:paraId="0C8CDF40">
      <w:pPr>
        <w:adjustRightInd w:val="0"/>
        <w:snapToGrid w:val="0"/>
        <w:spacing w:line="360" w:lineRule="auto"/>
        <w:ind w:firstLine="480" w:firstLineChars="200"/>
        <w:rPr>
          <w:rFonts w:ascii="宋体" w:hAnsi="宋体" w:cs="Arial"/>
          <w:color w:val="000000"/>
          <w:kern w:val="0"/>
          <w:sz w:val="24"/>
        </w:rPr>
      </w:pPr>
      <w:r>
        <w:rPr>
          <w:rFonts w:hint="eastAsia" w:ascii="宋体" w:hAnsi="宋体" w:cs="Arial"/>
          <w:color w:val="000000"/>
          <w:kern w:val="0"/>
          <w:sz w:val="24"/>
        </w:rPr>
        <w:t>（4）系统撮合成交规则与实际保持一致，严格遵守价格优先、时间优先原则，同时考虑了真实交易的成交价格及成交数量。</w:t>
      </w:r>
    </w:p>
    <w:p w14:paraId="135D4317">
      <w:pPr>
        <w:adjustRightInd w:val="0"/>
        <w:snapToGrid w:val="0"/>
        <w:spacing w:line="360" w:lineRule="auto"/>
        <w:ind w:firstLine="480" w:firstLineChars="200"/>
        <w:rPr>
          <w:rFonts w:ascii="宋体" w:hAnsi="宋体" w:cs="Arial"/>
          <w:color w:val="000000"/>
          <w:kern w:val="0"/>
          <w:sz w:val="24"/>
        </w:rPr>
      </w:pPr>
      <w:r>
        <w:rPr>
          <w:rFonts w:hint="eastAsia" w:ascii="宋体" w:hAnsi="宋体" w:cs="Arial"/>
          <w:color w:val="000000"/>
          <w:kern w:val="0"/>
          <w:sz w:val="24"/>
        </w:rPr>
        <w:t>（5）由于系统中的所有委托单都是单向与实盘中的成交价格和数量进行委托成交，能够买入上市的新股等出现一字涨停板股票的概率比实盘中要大许多，为了大赛公平以及大赛举办的意义，本次大赛禁止</w:t>
      </w:r>
      <w:r>
        <w:rPr>
          <w:rFonts w:ascii="宋体" w:hAnsi="宋体" w:cs="Arial"/>
          <w:color w:val="000000"/>
          <w:kern w:val="0"/>
          <w:sz w:val="24"/>
        </w:rPr>
        <w:t>交易新股，且</w:t>
      </w:r>
      <w:r>
        <w:rPr>
          <w:rFonts w:hint="eastAsia" w:ascii="宋体" w:hAnsi="宋体" w:cs="Arial"/>
          <w:color w:val="000000"/>
          <w:kern w:val="0"/>
          <w:sz w:val="24"/>
        </w:rPr>
        <w:t>对涨跌停价买入卖出委托下单进行了限制，即买入的委托价格不能为涨停价，卖出的委托价格不能为跌停价。</w:t>
      </w:r>
    </w:p>
    <w:p w14:paraId="7BE37C9A">
      <w:pPr>
        <w:pStyle w:val="10"/>
        <w:numPr>
          <w:ilvl w:val="0"/>
          <w:numId w:val="6"/>
        </w:numPr>
        <w:adjustRightInd w:val="0"/>
        <w:snapToGrid w:val="0"/>
        <w:spacing w:line="360" w:lineRule="auto"/>
        <w:ind w:left="0" w:firstLine="482"/>
        <w:rPr>
          <w:rFonts w:ascii="宋体" w:hAnsi="宋体"/>
          <w:b/>
          <w:color w:val="000000"/>
          <w:sz w:val="24"/>
        </w:rPr>
      </w:pPr>
      <w:r>
        <w:rPr>
          <w:rFonts w:hint="eastAsia" w:ascii="宋体" w:hAnsi="宋体"/>
          <w:b/>
          <w:color w:val="000000"/>
          <w:sz w:val="24"/>
        </w:rPr>
        <w:t xml:space="preserve">成交规则 </w:t>
      </w:r>
    </w:p>
    <w:p w14:paraId="61302970">
      <w:pPr>
        <w:adjustRightInd w:val="0"/>
        <w:snapToGrid w:val="0"/>
        <w:spacing w:line="360" w:lineRule="auto"/>
        <w:ind w:firstLine="480" w:firstLineChars="200"/>
        <w:rPr>
          <w:rFonts w:ascii="宋体" w:hAnsi="宋体" w:cs="Arial"/>
          <w:color w:val="000000"/>
          <w:kern w:val="0"/>
          <w:sz w:val="24"/>
        </w:rPr>
      </w:pPr>
      <w:r>
        <w:rPr>
          <w:rFonts w:hint="eastAsia" w:ascii="宋体" w:hAnsi="宋体"/>
          <w:color w:val="000000"/>
          <w:sz w:val="24"/>
        </w:rPr>
        <w:t>（1）</w:t>
      </w:r>
      <w:r>
        <w:rPr>
          <w:rFonts w:ascii="宋体" w:hAnsi="宋体" w:cs="Arial"/>
          <w:color w:val="000000"/>
          <w:kern w:val="0"/>
          <w:sz w:val="24"/>
        </w:rPr>
        <w:t>买入——买入委托确认后，若实时行情中卖</w:t>
      </w:r>
      <w:r>
        <w:rPr>
          <w:rFonts w:hint="eastAsia" w:ascii="宋体" w:hAnsi="宋体" w:cs="Arial"/>
          <w:color w:val="000000"/>
          <w:kern w:val="0"/>
          <w:sz w:val="24"/>
        </w:rPr>
        <w:t>一最新价与申报价相同或更低，则此委托可成交，委托价格区间为【跌停价，涨停价】；</w:t>
      </w:r>
    </w:p>
    <w:p w14:paraId="0FB29385">
      <w:pPr>
        <w:adjustRightInd w:val="0"/>
        <w:snapToGrid w:val="0"/>
        <w:spacing w:line="360" w:lineRule="auto"/>
        <w:ind w:firstLine="480" w:firstLineChars="200"/>
        <w:rPr>
          <w:rFonts w:ascii="宋体" w:hAnsi="宋体" w:cs="Arial"/>
          <w:color w:val="000000"/>
          <w:kern w:val="0"/>
          <w:sz w:val="24"/>
        </w:rPr>
      </w:pPr>
      <w:r>
        <w:rPr>
          <w:rFonts w:hint="eastAsia" w:ascii="宋体" w:hAnsi="宋体"/>
          <w:color w:val="000000"/>
          <w:sz w:val="24"/>
        </w:rPr>
        <w:t>（2）</w:t>
      </w:r>
      <w:r>
        <w:rPr>
          <w:rFonts w:ascii="宋体" w:hAnsi="宋体" w:cs="Arial"/>
          <w:color w:val="000000"/>
          <w:kern w:val="0"/>
          <w:sz w:val="24"/>
        </w:rPr>
        <w:t>卖出——卖出委托确认后，若实时行情中买</w:t>
      </w:r>
      <w:r>
        <w:rPr>
          <w:rFonts w:hint="eastAsia" w:ascii="宋体" w:hAnsi="宋体" w:cs="Arial"/>
          <w:color w:val="000000"/>
          <w:kern w:val="0"/>
          <w:sz w:val="24"/>
        </w:rPr>
        <w:t>一最新价与申报价相同或更高，则此委托可成交，委托价格区间为【跌停价，涨停价】；</w:t>
      </w:r>
    </w:p>
    <w:p w14:paraId="50D20306">
      <w:pPr>
        <w:adjustRightInd w:val="0"/>
        <w:snapToGrid w:val="0"/>
        <w:spacing w:line="360" w:lineRule="auto"/>
        <w:ind w:firstLine="480" w:firstLineChars="200"/>
        <w:rPr>
          <w:rFonts w:ascii="宋体" w:hAnsi="宋体" w:cs="Arial"/>
          <w:color w:val="000000"/>
          <w:kern w:val="0"/>
          <w:sz w:val="24"/>
        </w:rPr>
      </w:pPr>
      <w:r>
        <w:rPr>
          <w:rFonts w:hint="eastAsia" w:ascii="宋体" w:hAnsi="宋体"/>
          <w:color w:val="000000"/>
          <w:sz w:val="24"/>
        </w:rPr>
        <w:t>（3）</w:t>
      </w:r>
      <w:r>
        <w:rPr>
          <w:rFonts w:ascii="宋体" w:hAnsi="宋体" w:cs="Arial"/>
          <w:color w:val="000000"/>
          <w:kern w:val="0"/>
          <w:sz w:val="24"/>
        </w:rPr>
        <w:t>委托——委托成交时，成交价为实时行情的最新价，客户委托数量分笔撮合成交</w:t>
      </w:r>
      <w:r>
        <w:rPr>
          <w:rFonts w:hint="eastAsia" w:ascii="宋体" w:hAnsi="宋体" w:cs="Arial"/>
          <w:color w:val="000000"/>
          <w:kern w:val="0"/>
          <w:sz w:val="24"/>
        </w:rPr>
        <w:t>。</w:t>
      </w:r>
    </w:p>
    <w:p w14:paraId="23CACF61">
      <w:pPr>
        <w:pStyle w:val="10"/>
        <w:numPr>
          <w:ilvl w:val="0"/>
          <w:numId w:val="6"/>
        </w:numPr>
        <w:adjustRightInd w:val="0"/>
        <w:snapToGrid w:val="0"/>
        <w:spacing w:line="360" w:lineRule="auto"/>
        <w:ind w:left="0" w:firstLine="482"/>
        <w:rPr>
          <w:rFonts w:ascii="宋体" w:hAnsi="宋体"/>
          <w:b/>
          <w:color w:val="000000"/>
          <w:sz w:val="24"/>
        </w:rPr>
      </w:pPr>
      <w:r>
        <w:rPr>
          <w:rFonts w:hint="eastAsia" w:ascii="宋体" w:hAnsi="宋体"/>
          <w:b/>
          <w:color w:val="000000"/>
          <w:sz w:val="24"/>
        </w:rPr>
        <w:t>注意事项</w:t>
      </w:r>
    </w:p>
    <w:p w14:paraId="65006670">
      <w:pPr>
        <w:numPr>
          <w:ilvl w:val="0"/>
          <w:numId w:val="7"/>
        </w:numPr>
        <w:adjustRightInd w:val="0"/>
        <w:snapToGrid w:val="0"/>
        <w:spacing w:line="360" w:lineRule="auto"/>
        <w:ind w:firstLine="480" w:firstLineChars="200"/>
        <w:rPr>
          <w:rFonts w:hint="eastAsia" w:ascii="宋体" w:hAnsi="宋体" w:cs="Arial"/>
          <w:color w:val="000000"/>
          <w:kern w:val="0"/>
          <w:sz w:val="24"/>
        </w:rPr>
      </w:pPr>
      <w:r>
        <w:rPr>
          <w:rFonts w:hint="eastAsia" w:ascii="宋体" w:hAnsi="宋体" w:cs="Arial"/>
          <w:color w:val="000000"/>
          <w:kern w:val="0"/>
          <w:sz w:val="24"/>
        </w:rPr>
        <w:t>该系统考虑送股、增发、派息的权息因素，参赛者可随时参与股票的交易和买卖，不需顾及到股权登记日等相关的信息；</w:t>
      </w:r>
    </w:p>
    <w:p w14:paraId="3694CCF8">
      <w:pPr>
        <w:numPr>
          <w:ilvl w:val="0"/>
          <w:numId w:val="7"/>
        </w:numPr>
        <w:adjustRightInd w:val="0"/>
        <w:snapToGrid w:val="0"/>
        <w:spacing w:line="360" w:lineRule="auto"/>
        <w:ind w:firstLine="480" w:firstLineChars="200"/>
        <w:rPr>
          <w:rFonts w:hint="eastAsia" w:ascii="宋体" w:hAnsi="宋体" w:cs="Arial"/>
          <w:color w:val="000000"/>
          <w:kern w:val="0"/>
          <w:sz w:val="24"/>
          <w:lang w:val="en-US" w:eastAsia="zh-CN"/>
        </w:rPr>
      </w:pPr>
      <w:r>
        <w:rPr>
          <w:rFonts w:hint="eastAsia" w:ascii="宋体" w:hAnsi="宋体" w:cs="Arial"/>
          <w:color w:val="000000"/>
          <w:kern w:val="0"/>
          <w:sz w:val="24"/>
          <w:lang w:val="en-US" w:eastAsia="zh-CN"/>
        </w:rPr>
        <w:t>若参赛</w:t>
      </w:r>
      <w:r>
        <w:rPr>
          <w:rFonts w:hint="eastAsia" w:ascii="宋体" w:hAnsi="宋体" w:cs="Arial"/>
          <w:b w:val="0"/>
          <w:bCs w:val="0"/>
          <w:color w:val="000000"/>
          <w:kern w:val="0"/>
          <w:sz w:val="24"/>
          <w:lang w:val="en-US" w:eastAsia="zh-CN"/>
        </w:rPr>
        <w:t>者连续10日</w:t>
      </w:r>
      <w:r>
        <w:rPr>
          <w:rFonts w:hint="eastAsia" w:ascii="宋体" w:hAnsi="宋体" w:cs="Arial"/>
          <w:color w:val="000000"/>
          <w:kern w:val="0"/>
          <w:sz w:val="24"/>
          <w:lang w:val="en-US" w:eastAsia="zh-CN"/>
        </w:rPr>
        <w:t>没有登陆竞赛，暂不参与排名，直到重新登录竞赛；</w:t>
      </w:r>
    </w:p>
    <w:p w14:paraId="30C2F4DF">
      <w:pPr>
        <w:numPr>
          <w:ilvl w:val="0"/>
          <w:numId w:val="0"/>
        </w:numPr>
        <w:adjustRightInd w:val="0"/>
        <w:snapToGrid w:val="0"/>
        <w:spacing w:line="360" w:lineRule="auto"/>
        <w:ind w:firstLine="480" w:firstLineChars="200"/>
        <w:rPr>
          <w:rFonts w:hint="eastAsia" w:ascii="宋体" w:hAnsi="宋体" w:cs="Arial"/>
          <w:color w:val="000000"/>
          <w:kern w:val="0"/>
          <w:sz w:val="24"/>
          <w:lang w:val="en-US" w:eastAsia="zh-CN"/>
        </w:rPr>
      </w:pPr>
      <w:r>
        <w:rPr>
          <w:rFonts w:hint="eastAsia" w:ascii="宋体" w:hAnsi="宋体" w:cs="Arial"/>
          <w:color w:val="000000"/>
          <w:kern w:val="0"/>
          <w:sz w:val="24"/>
          <w:lang w:val="en-US" w:eastAsia="zh-CN"/>
        </w:rPr>
        <w:t>（3）若参赛者没有交易，不参与排名；</w:t>
      </w:r>
    </w:p>
    <w:p w14:paraId="4682DFF4">
      <w:pPr>
        <w:numPr>
          <w:ilvl w:val="0"/>
          <w:numId w:val="0"/>
        </w:numPr>
        <w:adjustRightInd w:val="0"/>
        <w:snapToGrid w:val="0"/>
        <w:spacing w:line="360" w:lineRule="auto"/>
        <w:ind w:firstLine="480" w:firstLineChars="200"/>
        <w:rPr>
          <w:rFonts w:ascii="宋体" w:hAnsi="宋体" w:cs="Arial"/>
          <w:color w:val="000000"/>
          <w:kern w:val="0"/>
          <w:sz w:val="24"/>
        </w:rPr>
      </w:pPr>
      <w:r>
        <w:rPr>
          <w:rFonts w:hint="eastAsia" w:ascii="宋体" w:hAnsi="宋体" w:cs="Arial"/>
          <w:color w:val="000000"/>
          <w:kern w:val="0"/>
          <w:sz w:val="24"/>
        </w:rPr>
        <w:t>（</w:t>
      </w:r>
      <w:r>
        <w:rPr>
          <w:rFonts w:hint="eastAsia" w:ascii="宋体" w:hAnsi="宋体" w:cs="Arial"/>
          <w:color w:val="000000"/>
          <w:kern w:val="0"/>
          <w:sz w:val="24"/>
          <w:lang w:val="en-US" w:eastAsia="zh-CN"/>
        </w:rPr>
        <w:t>4</w:t>
      </w:r>
      <w:r>
        <w:rPr>
          <w:rFonts w:hint="eastAsia" w:ascii="宋体" w:hAnsi="宋体" w:cs="Arial"/>
          <w:color w:val="000000"/>
          <w:kern w:val="0"/>
          <w:sz w:val="24"/>
        </w:rPr>
        <w:t>）主办方有权对规则进行调整。</w:t>
      </w:r>
    </w:p>
    <w:p w14:paraId="25D66204">
      <w:pPr>
        <w:pStyle w:val="10"/>
        <w:numPr>
          <w:ilvl w:val="0"/>
          <w:numId w:val="6"/>
        </w:numPr>
        <w:adjustRightInd w:val="0"/>
        <w:snapToGrid w:val="0"/>
        <w:spacing w:line="360" w:lineRule="auto"/>
        <w:ind w:left="0" w:firstLine="482"/>
        <w:rPr>
          <w:rFonts w:ascii="宋体" w:hAnsi="宋体"/>
          <w:b/>
          <w:color w:val="000000"/>
          <w:sz w:val="24"/>
        </w:rPr>
      </w:pPr>
      <w:r>
        <w:rPr>
          <w:rFonts w:hint="eastAsia" w:ascii="宋体" w:hAnsi="宋体"/>
          <w:b/>
          <w:color w:val="000000"/>
          <w:sz w:val="24"/>
        </w:rPr>
        <w:t>结果排名</w:t>
      </w:r>
    </w:p>
    <w:p w14:paraId="2C7B0D25">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比赛周期内每交易日对所有参赛队伍进行排名，最终排名以2026年6月2</w:t>
      </w:r>
      <w:r>
        <w:rPr>
          <w:rFonts w:hint="eastAsia" w:ascii="宋体" w:hAnsi="宋体"/>
          <w:color w:val="000000"/>
          <w:sz w:val="24"/>
          <w:lang w:val="en-US" w:eastAsia="zh-CN"/>
        </w:rPr>
        <w:t>6</w:t>
      </w:r>
      <w:r>
        <w:rPr>
          <w:rFonts w:hint="eastAsia" w:ascii="宋体" w:hAnsi="宋体"/>
          <w:color w:val="000000"/>
          <w:sz w:val="24"/>
        </w:rPr>
        <w:t>日收盘价计算竞赛排名。</w:t>
      </w:r>
    </w:p>
    <w:p w14:paraId="07B4082E">
      <w:pPr>
        <w:pStyle w:val="2"/>
        <w:numPr>
          <w:ilvl w:val="0"/>
          <w:numId w:val="0"/>
        </w:numPr>
        <w:adjustRightInd w:val="0"/>
        <w:snapToGrid w:val="0"/>
        <w:ind w:left="420"/>
        <w:rPr>
          <w:rFonts w:ascii="宋体" w:hAnsi="宋体" w:eastAsia="宋体"/>
          <w:color w:val="000000"/>
          <w:sz w:val="24"/>
          <w:szCs w:val="24"/>
        </w:rPr>
      </w:pPr>
      <w:bookmarkStart w:id="5" w:name="_Toc26782846"/>
      <w:r>
        <w:rPr>
          <w:rFonts w:hint="eastAsia" w:ascii="宋体" w:hAnsi="宋体" w:eastAsia="宋体"/>
          <w:color w:val="000000"/>
          <w:sz w:val="24"/>
          <w:szCs w:val="24"/>
        </w:rPr>
        <w:t>二、评分标准及细则</w:t>
      </w:r>
      <w:bookmarkEnd w:id="5"/>
    </w:p>
    <w:p w14:paraId="20AA87FB">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本次比赛评选活动坚持公正、公平、公开的评分原则，设立监督组和仲裁组，对裁判组的工作进行监督、复核，以及接受由参赛者提出的对裁判结果的申诉。选手在参赛中如违反评选活动规定，情节严重者取消参选资格。</w:t>
      </w:r>
    </w:p>
    <w:p w14:paraId="492F75A9">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本次比赛按个人账号在大赛期内的累计收益率（100%）进行计算，若参赛者没有交易，不参与排名。得分计算如下：</w:t>
      </w:r>
    </w:p>
    <w:p w14:paraId="3CC1A731">
      <w:pPr>
        <w:pStyle w:val="4"/>
        <w:adjustRightInd w:val="0"/>
        <w:snapToGrid w:val="0"/>
        <w:spacing w:line="360" w:lineRule="auto"/>
        <w:ind w:left="0" w:firstLine="480" w:firstLineChars="200"/>
        <w:jc w:val="both"/>
        <w:rPr>
          <w:sz w:val="24"/>
          <w:szCs w:val="24"/>
        </w:rPr>
      </w:pPr>
      <w:r>
        <w:rPr>
          <w:rFonts w:hint="eastAsia"/>
          <w:sz w:val="24"/>
          <w:szCs w:val="24"/>
        </w:rPr>
        <w:t>达</w:t>
      </w:r>
      <w:r>
        <w:rPr>
          <w:rFonts w:hint="eastAsia"/>
          <w:sz w:val="24"/>
          <w:szCs w:val="24"/>
          <w:lang w:val="en-US"/>
        </w:rPr>
        <w:t>标值</w:t>
      </w:r>
      <w:r>
        <w:rPr>
          <w:rFonts w:hint="eastAsia"/>
          <w:sz w:val="24"/>
          <w:szCs w:val="24"/>
        </w:rPr>
        <w:t>与</w:t>
      </w:r>
      <w:r>
        <w:rPr>
          <w:rFonts w:hint="eastAsia"/>
          <w:sz w:val="24"/>
          <w:szCs w:val="24"/>
          <w:lang w:val="en-US"/>
        </w:rPr>
        <w:t>达标分：累计收益率达标值为0，达标分为600分，满</w:t>
      </w:r>
      <w:r>
        <w:rPr>
          <w:rFonts w:hint="eastAsia"/>
          <w:sz w:val="24"/>
          <w:szCs w:val="24"/>
        </w:rPr>
        <w:t>分</w:t>
      </w:r>
      <w:r>
        <w:rPr>
          <w:rFonts w:hint="eastAsia"/>
          <w:sz w:val="24"/>
          <w:szCs w:val="24"/>
          <w:lang w:val="en-US"/>
        </w:rPr>
        <w:t>10</w:t>
      </w:r>
      <w:r>
        <w:rPr>
          <w:rFonts w:hint="eastAsia"/>
          <w:sz w:val="24"/>
          <w:szCs w:val="24"/>
        </w:rPr>
        <w:t>00。</w:t>
      </w:r>
    </w:p>
    <w:p w14:paraId="6C37D19F">
      <w:pPr>
        <w:pStyle w:val="4"/>
        <w:numPr>
          <w:ilvl w:val="0"/>
          <w:numId w:val="8"/>
        </w:numPr>
        <w:adjustRightInd w:val="0"/>
        <w:snapToGrid w:val="0"/>
        <w:spacing w:line="360" w:lineRule="auto"/>
        <w:ind w:left="0" w:firstLine="480" w:firstLineChars="200"/>
        <w:jc w:val="both"/>
        <w:rPr>
          <w:sz w:val="24"/>
          <w:szCs w:val="24"/>
          <w:lang w:val="en-US"/>
        </w:rPr>
      </w:pPr>
      <w:r>
        <w:rPr>
          <w:rFonts w:hint="eastAsia"/>
          <w:sz w:val="24"/>
          <w:szCs w:val="24"/>
          <w:lang w:val="en-US"/>
        </w:rPr>
        <w:t>若最大指标值=达标值，则最大指标值对应的分数=达标分</w:t>
      </w:r>
    </w:p>
    <w:p w14:paraId="3471C443">
      <w:pPr>
        <w:pStyle w:val="4"/>
        <w:numPr>
          <w:ilvl w:val="0"/>
          <w:numId w:val="8"/>
        </w:numPr>
        <w:adjustRightInd w:val="0"/>
        <w:snapToGrid w:val="0"/>
        <w:spacing w:line="360" w:lineRule="auto"/>
        <w:ind w:left="0" w:firstLine="480" w:firstLineChars="200"/>
        <w:jc w:val="both"/>
        <w:rPr>
          <w:sz w:val="24"/>
          <w:szCs w:val="24"/>
          <w:lang w:val="en-US"/>
        </w:rPr>
      </w:pPr>
      <w:r>
        <w:rPr>
          <w:rFonts w:hint="eastAsia"/>
          <w:sz w:val="24"/>
          <w:szCs w:val="24"/>
          <w:lang w:val="en-US"/>
        </w:rPr>
        <w:t>若最大指标值不等于达标值，则大于等于达标值的参赛者，分数计算如下：</w:t>
      </w:r>
    </w:p>
    <w:p w14:paraId="0B830FCA">
      <w:pPr>
        <w:pStyle w:val="4"/>
        <w:numPr>
          <w:ilvl w:val="0"/>
          <w:numId w:val="0"/>
        </w:numPr>
        <w:adjustRightInd w:val="0"/>
        <w:snapToGrid w:val="0"/>
        <w:spacing w:line="360" w:lineRule="auto"/>
        <w:jc w:val="both"/>
        <w:rPr>
          <w:sz w:val="24"/>
          <w:szCs w:val="24"/>
          <w:lang w:val="en-US"/>
        </w:rPr>
      </w:pPr>
      <w:r>
        <w:rPr>
          <w:rFonts w:hint="eastAsia"/>
          <w:sz w:val="24"/>
          <w:szCs w:val="24"/>
          <w:lang w:val="en-US"/>
        </w:rPr>
        <w:t>分数=达标分+[（对应指标值-达标值）/（最大指标值-达标值）]*（满分-达标分）</w:t>
      </w:r>
    </w:p>
    <w:p w14:paraId="3E017CDE">
      <w:pPr>
        <w:pStyle w:val="4"/>
        <w:numPr>
          <w:ilvl w:val="0"/>
          <w:numId w:val="8"/>
        </w:numPr>
        <w:adjustRightInd w:val="0"/>
        <w:snapToGrid w:val="0"/>
        <w:spacing w:line="360" w:lineRule="auto"/>
        <w:ind w:left="0" w:firstLine="480" w:firstLineChars="200"/>
        <w:jc w:val="both"/>
        <w:rPr>
          <w:sz w:val="24"/>
          <w:szCs w:val="24"/>
          <w:lang w:val="en-US"/>
        </w:rPr>
      </w:pPr>
      <w:r>
        <w:rPr>
          <w:rFonts w:hint="eastAsia"/>
          <w:sz w:val="24"/>
          <w:szCs w:val="24"/>
          <w:lang w:val="en-US"/>
        </w:rPr>
        <w:t>小于达标值的参赛者，分数计算如下：</w:t>
      </w:r>
    </w:p>
    <w:p w14:paraId="5A202B3C">
      <w:pPr>
        <w:pStyle w:val="4"/>
        <w:numPr>
          <w:ilvl w:val="0"/>
          <w:numId w:val="0"/>
        </w:numPr>
        <w:adjustRightInd w:val="0"/>
        <w:snapToGrid w:val="0"/>
        <w:spacing w:line="360" w:lineRule="auto"/>
        <w:jc w:val="both"/>
        <w:rPr>
          <w:sz w:val="24"/>
          <w:szCs w:val="24"/>
          <w:lang w:val="en-US"/>
        </w:rPr>
      </w:pPr>
      <w:r>
        <w:rPr>
          <w:rFonts w:hint="eastAsia"/>
          <w:sz w:val="24"/>
          <w:szCs w:val="24"/>
          <w:lang w:val="en-US"/>
        </w:rPr>
        <w:t>分数=[（对应指标值-最小指标值）/（达标值-最小指标值）]*达标分</w:t>
      </w:r>
    </w:p>
    <w:p w14:paraId="4B7754ED">
      <w:pPr>
        <w:rPr>
          <w:rFonts w:ascii="宋体" w:hAnsi="宋体"/>
          <w:b/>
          <w:bCs/>
          <w:color w:val="000000"/>
          <w:sz w:val="24"/>
        </w:rPr>
      </w:pPr>
      <w:r>
        <w:rPr>
          <w:rFonts w:hint="eastAsia"/>
          <w:b/>
          <w:bCs/>
          <w:sz w:val="24"/>
          <w:szCs w:val="24"/>
          <w:lang w:val="en-US"/>
        </w:rPr>
        <w:t>字段释义：</w:t>
      </w:r>
      <w:r>
        <w:rPr>
          <w:rFonts w:hint="eastAsia"/>
          <w:sz w:val="24"/>
          <w:szCs w:val="24"/>
          <w:lang w:val="en-US"/>
        </w:rPr>
        <w:t>最大指标值为所有参赛者的排名指标中的最大值，最小指标值为所有参赛者的排名指标中的最小值。</w:t>
      </w:r>
    </w:p>
    <w:p w14:paraId="3C01DA12">
      <w:pPr>
        <w:spacing w:line="360" w:lineRule="auto"/>
        <w:jc w:val="left"/>
        <w:rPr>
          <w:rFonts w:ascii="黑体" w:hAnsi="黑体" w:eastAsia="黑体" w:cs="黑体"/>
          <w:color w:val="000000"/>
          <w:sz w:val="32"/>
          <w:szCs w:val="32"/>
        </w:rPr>
      </w:pPr>
      <w:bookmarkStart w:id="6" w:name="_Toc26782850"/>
      <w:r>
        <w:rPr>
          <w:rFonts w:hint="eastAsia" w:ascii="黑体" w:hAnsi="黑体" w:eastAsia="黑体" w:cs="黑体"/>
          <w:color w:val="000000"/>
          <w:sz w:val="32"/>
          <w:szCs w:val="32"/>
        </w:rPr>
        <w:t>附件2：竞赛项目使用器材与技术平台</w:t>
      </w:r>
      <w:bookmarkEnd w:id="6"/>
    </w:p>
    <w:p w14:paraId="2E17B371">
      <w:pPr>
        <w:adjustRightInd w:val="0"/>
        <w:snapToGrid w:val="0"/>
        <w:spacing w:line="540" w:lineRule="exact"/>
        <w:ind w:firstLine="482" w:firstLineChars="200"/>
        <w:rPr>
          <w:rFonts w:ascii="宋体" w:hAnsi="宋体"/>
          <w:b/>
          <w:color w:val="000000"/>
          <w:sz w:val="24"/>
        </w:rPr>
      </w:pPr>
      <w:r>
        <w:rPr>
          <w:rFonts w:hint="eastAsia" w:ascii="宋体" w:hAnsi="宋体"/>
          <w:b/>
          <w:color w:val="000000"/>
          <w:sz w:val="24"/>
        </w:rPr>
        <w:t>一、</w:t>
      </w:r>
      <w:r>
        <w:rPr>
          <w:rFonts w:ascii="宋体" w:hAnsi="宋体"/>
          <w:b/>
          <w:color w:val="000000"/>
          <w:sz w:val="24"/>
        </w:rPr>
        <w:t>竞赛项目技术平台</w:t>
      </w:r>
    </w:p>
    <w:p w14:paraId="5E4BB3CA">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比赛使用深圳希施玛教育技术有限公司开发的证券投资实训系统。为保证学生流畅使用，建议学生使用</w:t>
      </w:r>
      <w:r>
        <w:rPr>
          <w:rFonts w:ascii="宋体" w:hAnsi="宋体"/>
          <w:color w:val="000000"/>
          <w:sz w:val="24"/>
        </w:rPr>
        <w:t>IE（10-12），谷歌、火狐最新版本浏览器、360最新版浏览器</w:t>
      </w:r>
      <w:r>
        <w:rPr>
          <w:rFonts w:hint="eastAsia" w:ascii="宋体" w:hAnsi="宋体"/>
          <w:color w:val="000000"/>
          <w:sz w:val="24"/>
        </w:rPr>
        <w:t>极速模式、搜狗最新版浏览器高速模式。</w:t>
      </w:r>
    </w:p>
    <w:p w14:paraId="193D4000">
      <w:pPr>
        <w:adjustRightInd w:val="0"/>
        <w:snapToGrid w:val="0"/>
        <w:spacing w:line="540" w:lineRule="exact"/>
        <w:ind w:firstLine="482" w:firstLineChars="200"/>
        <w:rPr>
          <w:rFonts w:ascii="宋体" w:hAnsi="宋体"/>
          <w:b/>
          <w:color w:val="000000"/>
          <w:sz w:val="24"/>
        </w:rPr>
      </w:pPr>
      <w:r>
        <w:rPr>
          <w:rFonts w:hint="eastAsia" w:ascii="宋体" w:hAnsi="宋体"/>
          <w:b/>
          <w:color w:val="000000"/>
          <w:sz w:val="24"/>
        </w:rPr>
        <w:t>二、</w:t>
      </w:r>
      <w:r>
        <w:rPr>
          <w:rFonts w:ascii="宋体" w:hAnsi="宋体"/>
          <w:b/>
          <w:color w:val="000000"/>
          <w:sz w:val="24"/>
        </w:rPr>
        <w:t>技术平台简介——</w:t>
      </w:r>
      <w:r>
        <w:rPr>
          <w:rFonts w:hint="eastAsia" w:ascii="宋体" w:hAnsi="宋体"/>
          <w:b/>
          <w:color w:val="000000"/>
          <w:sz w:val="24"/>
        </w:rPr>
        <w:t>证券投资实训系统</w:t>
      </w:r>
    </w:p>
    <w:p w14:paraId="5DCCFDE4">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希施玛证券投资实训系统以希施玛特有“真实行情＋高精度仿真交易”机制，提供多种类型实训课程（涵盖沪深京股票、基金、债券、期货、个股期权、股指期权、港股、港股通、融资融券、外汇等），实现情景案例复盘、行情回放、盘感训练、证券交易大赛等的实用教学功能，为高校教、学、训、练、考、赛等一体化的证券投资技能实训打造全方位的实训环境。</w:t>
      </w:r>
    </w:p>
    <w:p w14:paraId="1C34EF05">
      <w:pPr>
        <w:adjustRightInd w:val="0"/>
        <w:snapToGrid w:val="0"/>
        <w:spacing w:line="540" w:lineRule="exact"/>
        <w:ind w:firstLine="480" w:firstLineChars="200"/>
        <w:rPr>
          <w:rFonts w:ascii="宋体" w:hAnsi="宋体"/>
          <w:color w:val="000000"/>
          <w:sz w:val="24"/>
        </w:rPr>
      </w:pPr>
      <w:bookmarkStart w:id="7" w:name="OLE_LINK5"/>
      <w:r>
        <w:rPr>
          <w:rFonts w:hint="eastAsia" w:ascii="宋体" w:hAnsi="宋体"/>
          <w:color w:val="000000"/>
          <w:sz w:val="24"/>
        </w:rPr>
        <w:t>1、首页</w:t>
      </w:r>
    </w:p>
    <w:p w14:paraId="35C24877">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首页主要提供系统产品、应用场景、产品特色、大赛方案、合作伙伴的介绍，提供实训版、大赛版登陆的入口，同时展示国内外主要市场指数。</w:t>
      </w:r>
    </w:p>
    <w:p w14:paraId="7962D92A">
      <w:pPr>
        <w:rPr>
          <w:sz w:val="24"/>
        </w:rPr>
      </w:pPr>
      <w:r>
        <w:rPr>
          <w:rFonts w:hint="eastAsia"/>
          <w:sz w:val="24"/>
        </w:rPr>
        <w:drawing>
          <wp:inline distT="0" distB="0" distL="0" distR="0">
            <wp:extent cx="5274310" cy="2947670"/>
            <wp:effectExtent l="0" t="0" r="8890" b="24130"/>
            <wp:docPr id="14" name="图片 14"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形用户界面&#10;&#10;描述已自动生成"/>
                    <pic:cNvPicPr>
                      <a:picLocks noChangeAspect="1"/>
                    </pic:cNvPicPr>
                  </pic:nvPicPr>
                  <pic:blipFill>
                    <a:blip r:embed="rId8"/>
                    <a:stretch>
                      <a:fillRect/>
                    </a:stretch>
                  </pic:blipFill>
                  <pic:spPr>
                    <a:xfrm>
                      <a:off x="0" y="0"/>
                      <a:ext cx="5274310" cy="2947670"/>
                    </a:xfrm>
                    <a:prstGeom prst="rect">
                      <a:avLst/>
                    </a:prstGeom>
                  </pic:spPr>
                </pic:pic>
              </a:graphicData>
            </a:graphic>
          </wp:inline>
        </w:drawing>
      </w:r>
    </w:p>
    <w:p w14:paraId="60321B97">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2、证券教学</w:t>
      </w:r>
    </w:p>
    <w:p w14:paraId="7D5948F1">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证券教学功能主要为学生提供股票、基金、债券、期货、期权、外汇及案例等实训科目的理论学习、PPT课件演示、实训操作视频的播放，通过多种方式的教学来达到教学实训的目标。</w:t>
      </w:r>
    </w:p>
    <w:bookmarkEnd w:id="7"/>
    <w:p w14:paraId="655044A1">
      <w:pPr>
        <w:rPr>
          <w:sz w:val="24"/>
        </w:rPr>
      </w:pPr>
      <w:r>
        <w:rPr>
          <w:rFonts w:hint="eastAsia"/>
          <w:sz w:val="24"/>
        </w:rPr>
        <w:drawing>
          <wp:inline distT="0" distB="0" distL="0" distR="0">
            <wp:extent cx="5274310" cy="2947670"/>
            <wp:effectExtent l="0" t="0" r="8890" b="24130"/>
            <wp:docPr id="1" name="图片 1"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形用户界面, 网站&#10;&#10;描述已自动生成"/>
                    <pic:cNvPicPr>
                      <a:picLocks noChangeAspect="1"/>
                    </pic:cNvPicPr>
                  </pic:nvPicPr>
                  <pic:blipFill>
                    <a:blip r:embed="rId9"/>
                    <a:stretch>
                      <a:fillRect/>
                    </a:stretch>
                  </pic:blipFill>
                  <pic:spPr>
                    <a:xfrm>
                      <a:off x="0" y="0"/>
                      <a:ext cx="5274310" cy="2947670"/>
                    </a:xfrm>
                    <a:prstGeom prst="rect">
                      <a:avLst/>
                    </a:prstGeom>
                  </pic:spPr>
                </pic:pic>
              </a:graphicData>
            </a:graphic>
          </wp:inline>
        </w:drawing>
      </w:r>
    </w:p>
    <w:p w14:paraId="5365B0B9">
      <w:pPr>
        <w:rPr>
          <w:sz w:val="24"/>
        </w:rPr>
      </w:pPr>
      <w:r>
        <w:rPr>
          <w:rFonts w:hint="eastAsia"/>
          <w:sz w:val="24"/>
        </w:rPr>
        <w:drawing>
          <wp:inline distT="0" distB="0" distL="0" distR="0">
            <wp:extent cx="5274310" cy="2947670"/>
            <wp:effectExtent l="0" t="0" r="8890" b="24130"/>
            <wp:docPr id="3" name="图片 3" descr="电脑萤幕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电脑萤幕的截图&#10;&#10;描述已自动生成"/>
                    <pic:cNvPicPr>
                      <a:picLocks noChangeAspect="1"/>
                    </pic:cNvPicPr>
                  </pic:nvPicPr>
                  <pic:blipFill>
                    <a:blip r:embed="rId10"/>
                    <a:stretch>
                      <a:fillRect/>
                    </a:stretch>
                  </pic:blipFill>
                  <pic:spPr>
                    <a:xfrm>
                      <a:off x="0" y="0"/>
                      <a:ext cx="5274310" cy="2947670"/>
                    </a:xfrm>
                    <a:prstGeom prst="rect">
                      <a:avLst/>
                    </a:prstGeom>
                  </pic:spPr>
                </pic:pic>
              </a:graphicData>
            </a:graphic>
          </wp:inline>
        </w:drawing>
      </w:r>
    </w:p>
    <w:p w14:paraId="7F399A0C">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3、技能学习</w:t>
      </w:r>
    </w:p>
    <w:p w14:paraId="5FD7AD54">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技能学习主要提给老师和学生一些工具进行相应的技能训练，目前支持行情回放、k线识别、k线认识、指标标识、盘感训练、分时训练、条件选股、盘感测试等8种技能的学习。</w:t>
      </w:r>
    </w:p>
    <w:p w14:paraId="702149CD">
      <w:pPr>
        <w:rPr>
          <w:sz w:val="24"/>
        </w:rPr>
      </w:pPr>
      <w:r>
        <w:rPr>
          <w:rFonts w:hint="eastAsia"/>
          <w:sz w:val="24"/>
        </w:rPr>
        <w:drawing>
          <wp:inline distT="0" distB="0" distL="0" distR="0">
            <wp:extent cx="5274310" cy="2947670"/>
            <wp:effectExtent l="0" t="0" r="8890" b="24130"/>
            <wp:docPr id="16" name="图片 16"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形用户界面, 应用程序&#10;&#10;描述已自动生成"/>
                    <pic:cNvPicPr>
                      <a:picLocks noChangeAspect="1"/>
                    </pic:cNvPicPr>
                  </pic:nvPicPr>
                  <pic:blipFill>
                    <a:blip r:embed="rId11"/>
                    <a:stretch>
                      <a:fillRect/>
                    </a:stretch>
                  </pic:blipFill>
                  <pic:spPr>
                    <a:xfrm>
                      <a:off x="0" y="0"/>
                      <a:ext cx="5274310" cy="2947670"/>
                    </a:xfrm>
                    <a:prstGeom prst="rect">
                      <a:avLst/>
                    </a:prstGeom>
                  </pic:spPr>
                </pic:pic>
              </a:graphicData>
            </a:graphic>
          </wp:inline>
        </w:drawing>
      </w:r>
    </w:p>
    <w:p w14:paraId="481938F4">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4、投资实训</w:t>
      </w:r>
    </w:p>
    <w:p w14:paraId="0AAACFAC">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投资实训功能主要提供学生通过证券教学的科目学习后进行实训，完成实训任务，达成实训目标，系统将记录学生的实训状态。</w:t>
      </w:r>
    </w:p>
    <w:p w14:paraId="55EDA398">
      <w:pPr>
        <w:rPr>
          <w:sz w:val="24"/>
        </w:rPr>
      </w:pPr>
      <w:r>
        <w:rPr>
          <w:rFonts w:hint="eastAsia"/>
          <w:sz w:val="24"/>
        </w:rPr>
        <w:drawing>
          <wp:inline distT="0" distB="0" distL="0" distR="0">
            <wp:extent cx="5274310" cy="2947670"/>
            <wp:effectExtent l="0" t="0" r="8890" b="24130"/>
            <wp:docPr id="4" name="图片 4"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形用户界面, 网站&#10;&#10;描述已自动生成"/>
                    <pic:cNvPicPr>
                      <a:picLocks noChangeAspect="1"/>
                    </pic:cNvPicPr>
                  </pic:nvPicPr>
                  <pic:blipFill>
                    <a:blip r:embed="rId12"/>
                    <a:stretch>
                      <a:fillRect/>
                    </a:stretch>
                  </pic:blipFill>
                  <pic:spPr>
                    <a:xfrm>
                      <a:off x="0" y="0"/>
                      <a:ext cx="5274310" cy="2947670"/>
                    </a:xfrm>
                    <a:prstGeom prst="rect">
                      <a:avLst/>
                    </a:prstGeom>
                  </pic:spPr>
                </pic:pic>
              </a:graphicData>
            </a:graphic>
          </wp:inline>
        </w:drawing>
      </w:r>
    </w:p>
    <w:p w14:paraId="18A9DB35">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5、题库练习</w:t>
      </w:r>
    </w:p>
    <w:p w14:paraId="474B43B0">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题库练习功能主要提供学生通过证券教学的科目学习后进行相应科目的练习，巩固相应科目实训知识点。学生通过点击进入练习，系统自动统计练习次数并记录练习后的分数，若进行多次练习，则记录最高得分，学生还可以点击复习知识点进入该证券教学的该科目进行理论学习。</w:t>
      </w:r>
    </w:p>
    <w:p w14:paraId="2D70A30F">
      <w:pPr>
        <w:rPr>
          <w:sz w:val="24"/>
        </w:rPr>
      </w:pPr>
      <w:r>
        <w:rPr>
          <w:rFonts w:hint="eastAsia"/>
          <w:sz w:val="24"/>
        </w:rPr>
        <w:drawing>
          <wp:inline distT="0" distB="0" distL="0" distR="0">
            <wp:extent cx="5274310" cy="2947670"/>
            <wp:effectExtent l="0" t="0" r="8890" b="24130"/>
            <wp:docPr id="18" name="图片 18" descr="电脑软件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电脑软件截图&#10;&#10;描述已自动生成"/>
                    <pic:cNvPicPr>
                      <a:picLocks noChangeAspect="1"/>
                    </pic:cNvPicPr>
                  </pic:nvPicPr>
                  <pic:blipFill>
                    <a:blip r:embed="rId13"/>
                    <a:stretch>
                      <a:fillRect/>
                    </a:stretch>
                  </pic:blipFill>
                  <pic:spPr>
                    <a:xfrm>
                      <a:off x="0" y="0"/>
                      <a:ext cx="5274310" cy="2947670"/>
                    </a:xfrm>
                    <a:prstGeom prst="rect">
                      <a:avLst/>
                    </a:prstGeom>
                  </pic:spPr>
                </pic:pic>
              </a:graphicData>
            </a:graphic>
          </wp:inline>
        </w:drawing>
      </w:r>
    </w:p>
    <w:p w14:paraId="552C5469">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6、实验考试</w:t>
      </w:r>
    </w:p>
    <w:p w14:paraId="20AF1172">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实验考试功能主要提供学生</w:t>
      </w:r>
      <w:bookmarkStart w:id="8" w:name="OLE_LINK7"/>
      <w:bookmarkStart w:id="9" w:name="OLE_LINK8"/>
      <w:r>
        <w:rPr>
          <w:rFonts w:hint="eastAsia" w:ascii="宋体" w:hAnsi="宋体"/>
          <w:color w:val="000000"/>
          <w:sz w:val="24"/>
        </w:rPr>
        <w:t>参与老师发布的教学考试，进行从业资格认证考试的模拟训练，参与老师布置的实验报告的撰写，通过实验考试来检验学生对阶段学习知识的掌握情况。</w:t>
      </w:r>
    </w:p>
    <w:bookmarkEnd w:id="8"/>
    <w:bookmarkEnd w:id="9"/>
    <w:p w14:paraId="773CF8F5">
      <w:pPr>
        <w:rPr>
          <w:sz w:val="24"/>
        </w:rPr>
      </w:pPr>
      <w:r>
        <w:rPr>
          <w:rFonts w:hint="eastAsia"/>
          <w:sz w:val="24"/>
        </w:rPr>
        <w:drawing>
          <wp:inline distT="0" distB="0" distL="0" distR="0">
            <wp:extent cx="5274310" cy="2947670"/>
            <wp:effectExtent l="0" t="0" r="8890" b="24130"/>
            <wp:docPr id="19" name="图片 19"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形用户界面, 文本, 应用程序, 电子邮件&#10;&#10;描述已自动生成"/>
                    <pic:cNvPicPr>
                      <a:picLocks noChangeAspect="1"/>
                    </pic:cNvPicPr>
                  </pic:nvPicPr>
                  <pic:blipFill>
                    <a:blip r:embed="rId14"/>
                    <a:stretch>
                      <a:fillRect/>
                    </a:stretch>
                  </pic:blipFill>
                  <pic:spPr>
                    <a:xfrm>
                      <a:off x="0" y="0"/>
                      <a:ext cx="5274310" cy="2947670"/>
                    </a:xfrm>
                    <a:prstGeom prst="rect">
                      <a:avLst/>
                    </a:prstGeom>
                  </pic:spPr>
                </pic:pic>
              </a:graphicData>
            </a:graphic>
          </wp:inline>
        </w:drawing>
      </w:r>
    </w:p>
    <w:p w14:paraId="7927D832">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7、仿真竞赛</w:t>
      </w:r>
    </w:p>
    <w:p w14:paraId="089DE67C">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仿真竞赛功能主要提供学生参与老师发布的大赛，进行交易下单，查看大赛排名等，通过大赛的形式掌握相应的知识和技能。</w:t>
      </w:r>
    </w:p>
    <w:p w14:paraId="2C9FE150">
      <w:pPr>
        <w:rPr>
          <w:sz w:val="24"/>
        </w:rPr>
      </w:pPr>
      <w:r>
        <w:rPr>
          <w:rFonts w:hint="eastAsia"/>
          <w:sz w:val="24"/>
        </w:rPr>
        <w:drawing>
          <wp:inline distT="0" distB="0" distL="0" distR="0">
            <wp:extent cx="5274310" cy="2947670"/>
            <wp:effectExtent l="0" t="0" r="8890" b="24130"/>
            <wp:docPr id="22" name="图片 22" descr="图形用户界面, 应用程序,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形用户界面, 应用程序, 网站&#10;&#10;描述已自动生成"/>
                    <pic:cNvPicPr>
                      <a:picLocks noChangeAspect="1"/>
                    </pic:cNvPicPr>
                  </pic:nvPicPr>
                  <pic:blipFill>
                    <a:blip r:embed="rId15"/>
                    <a:stretch>
                      <a:fillRect/>
                    </a:stretch>
                  </pic:blipFill>
                  <pic:spPr>
                    <a:xfrm>
                      <a:off x="0" y="0"/>
                      <a:ext cx="5274310" cy="2947670"/>
                    </a:xfrm>
                    <a:prstGeom prst="rect">
                      <a:avLst/>
                    </a:prstGeom>
                  </pic:spPr>
                </pic:pic>
              </a:graphicData>
            </a:graphic>
          </wp:inline>
        </w:drawing>
      </w:r>
    </w:p>
    <w:p w14:paraId="0C9391BB">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8、课外资源</w:t>
      </w:r>
    </w:p>
    <w:p w14:paraId="144A7A58">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课外资源功能是系统及老师给学生提供课外自学的资料库，学生可以根据自己所需在课外资源中寻找自己想要的学习资料进行在线学习。</w:t>
      </w:r>
    </w:p>
    <w:p w14:paraId="0844396B">
      <w:pPr>
        <w:rPr>
          <w:sz w:val="24"/>
        </w:rPr>
      </w:pPr>
      <w:r>
        <w:rPr>
          <w:rFonts w:hint="eastAsia"/>
          <w:sz w:val="24"/>
        </w:rPr>
        <w:drawing>
          <wp:inline distT="0" distB="0" distL="0" distR="0">
            <wp:extent cx="5274310" cy="2947670"/>
            <wp:effectExtent l="0" t="0" r="8890" b="24130"/>
            <wp:docPr id="20" name="图片 20" descr="电脑截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电脑截图&#10;&#10;中度可信度描述已自动生成"/>
                    <pic:cNvPicPr>
                      <a:picLocks noChangeAspect="1"/>
                    </pic:cNvPicPr>
                  </pic:nvPicPr>
                  <pic:blipFill>
                    <a:blip r:embed="rId16"/>
                    <a:stretch>
                      <a:fillRect/>
                    </a:stretch>
                  </pic:blipFill>
                  <pic:spPr>
                    <a:xfrm>
                      <a:off x="0" y="0"/>
                      <a:ext cx="5274310" cy="2947670"/>
                    </a:xfrm>
                    <a:prstGeom prst="rect">
                      <a:avLst/>
                    </a:prstGeom>
                  </pic:spPr>
                </pic:pic>
              </a:graphicData>
            </a:graphic>
          </wp:inline>
        </w:drawing>
      </w:r>
    </w:p>
    <w:p w14:paraId="3C5B813B">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9、个人中心</w:t>
      </w:r>
    </w:p>
    <w:p w14:paraId="1D799997">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个人中心可以查看个人资料，进行账户的安全设置，查看实训成绩及盘感训练记录等信息。</w:t>
      </w:r>
    </w:p>
    <w:p w14:paraId="5D05F192">
      <w:pPr>
        <w:rPr>
          <w:sz w:val="24"/>
        </w:rPr>
      </w:pPr>
      <w:r>
        <w:rPr>
          <w:rFonts w:hint="eastAsia"/>
          <w:sz w:val="24"/>
        </w:rPr>
        <w:drawing>
          <wp:inline distT="0" distB="0" distL="0" distR="0">
            <wp:extent cx="5274310" cy="2947670"/>
            <wp:effectExtent l="0" t="0" r="8890" b="24130"/>
            <wp:docPr id="21" name="图片 2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形用户界面, 文本, 应用程序, 电子邮件&#10;&#10;描述已自动生成"/>
                    <pic:cNvPicPr>
                      <a:picLocks noChangeAspect="1"/>
                    </pic:cNvPicPr>
                  </pic:nvPicPr>
                  <pic:blipFill>
                    <a:blip r:embed="rId17"/>
                    <a:stretch>
                      <a:fillRect/>
                    </a:stretch>
                  </pic:blipFill>
                  <pic:spPr>
                    <a:xfrm>
                      <a:off x="0" y="0"/>
                      <a:ext cx="5274310" cy="2947670"/>
                    </a:xfrm>
                    <a:prstGeom prst="rect">
                      <a:avLst/>
                    </a:prstGeom>
                  </pic:spPr>
                </pic:pic>
              </a:graphicData>
            </a:graphic>
          </wp:inline>
        </w:drawing>
      </w:r>
    </w:p>
    <w:p w14:paraId="48116553">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10、我的组合</w:t>
      </w:r>
    </w:p>
    <w:p w14:paraId="5E690195">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我的组合功能是在希施玛证券投资实训系统大赛版才有的功能，是一项需要额外开通相关权限的功能，开通权限后，可以进入【个人中心】-【我的组合】进行创建组合以及查看创建的所有组合的组合列表以及基础信息。</w:t>
      </w:r>
    </w:p>
    <w:p w14:paraId="7D6EA890">
      <w:pPr>
        <w:rPr>
          <w:sz w:val="24"/>
        </w:rPr>
      </w:pPr>
      <w:r>
        <w:rPr>
          <w:rFonts w:hint="eastAsia"/>
          <w:sz w:val="24"/>
        </w:rPr>
        <w:drawing>
          <wp:inline distT="0" distB="0" distL="0" distR="0">
            <wp:extent cx="5274310" cy="3292475"/>
            <wp:effectExtent l="0" t="0" r="889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8"/>
                    <a:stretch>
                      <a:fillRect/>
                    </a:stretch>
                  </pic:blipFill>
                  <pic:spPr>
                    <a:xfrm>
                      <a:off x="0" y="0"/>
                      <a:ext cx="5274310" cy="3292475"/>
                    </a:xfrm>
                    <a:prstGeom prst="rect">
                      <a:avLst/>
                    </a:prstGeom>
                  </pic:spPr>
                </pic:pic>
              </a:graphicData>
            </a:graphic>
          </wp:inline>
        </w:drawing>
      </w:r>
    </w:p>
    <w:p w14:paraId="19458AAF">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11、资金管理</w:t>
      </w:r>
    </w:p>
    <w:p w14:paraId="1BE6247B">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资金管理功能是和大赛或者组合相关联的功能，用户可以在这里对选中的某个大赛或者组合进行银行账户与资产账户之间的资金划转及账户资产信息查看、资金划转流水查看等。</w:t>
      </w:r>
    </w:p>
    <w:p w14:paraId="67125268">
      <w:pPr>
        <w:rPr>
          <w:sz w:val="24"/>
        </w:rPr>
      </w:pPr>
      <w:r>
        <w:rPr>
          <w:rFonts w:hint="eastAsia"/>
          <w:sz w:val="24"/>
        </w:rPr>
        <w:drawing>
          <wp:inline distT="0" distB="0" distL="0" distR="0">
            <wp:extent cx="5274310" cy="3296285"/>
            <wp:effectExtent l="0" t="0" r="889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9"/>
                    <a:stretch>
                      <a:fillRect/>
                    </a:stretch>
                  </pic:blipFill>
                  <pic:spPr>
                    <a:xfrm>
                      <a:off x="0" y="0"/>
                      <a:ext cx="5274310" cy="3296285"/>
                    </a:xfrm>
                    <a:prstGeom prst="rect">
                      <a:avLst/>
                    </a:prstGeom>
                  </pic:spPr>
                </pic:pic>
              </a:graphicData>
            </a:graphic>
          </wp:inline>
        </w:drawing>
      </w:r>
    </w:p>
    <w:p w14:paraId="44F043CF">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12、组合分析</w:t>
      </w:r>
    </w:p>
    <w:p w14:paraId="506648D8">
      <w:pPr>
        <w:adjustRightInd w:val="0"/>
        <w:snapToGrid w:val="0"/>
        <w:spacing w:line="540" w:lineRule="exact"/>
        <w:ind w:firstLine="480" w:firstLineChars="200"/>
        <w:rPr>
          <w:rFonts w:ascii="宋体" w:hAnsi="宋体"/>
          <w:color w:val="000000"/>
          <w:sz w:val="24"/>
        </w:rPr>
      </w:pPr>
      <w:r>
        <w:rPr>
          <w:rFonts w:hint="eastAsia" w:ascii="宋体" w:hAnsi="宋体"/>
          <w:color w:val="000000"/>
          <w:sz w:val="24"/>
        </w:rPr>
        <w:t>组合分析功能为大赛和组合的共有功能，如果进行分析的是大赛，则以该用户在选中大赛中的所有资产计入总资产进行分析，主要分为业绩表现、投资收益、净值表现、资产配置、风险分析、仓位变动及股票分析等7个维度进行账户总体资产情况的分析。</w:t>
      </w:r>
    </w:p>
    <w:p w14:paraId="7F056ED7">
      <w:pPr>
        <w:rPr>
          <w:sz w:val="24"/>
        </w:rPr>
      </w:pPr>
      <w:r>
        <w:rPr>
          <w:sz w:val="24"/>
        </w:rPr>
        <w:drawing>
          <wp:inline distT="0" distB="0" distL="0" distR="0">
            <wp:extent cx="5036185" cy="3143885"/>
            <wp:effectExtent l="0" t="0" r="18415"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0"/>
                    <a:stretch>
                      <a:fillRect/>
                    </a:stretch>
                  </pic:blipFill>
                  <pic:spPr>
                    <a:xfrm>
                      <a:off x="0" y="0"/>
                      <a:ext cx="5036185" cy="3143885"/>
                    </a:xfrm>
                    <a:prstGeom prst="rect">
                      <a:avLst/>
                    </a:prstGeom>
                  </pic:spPr>
                </pic:pic>
              </a:graphicData>
            </a:graphic>
          </wp:inline>
        </w:drawing>
      </w:r>
    </w:p>
    <w:p w14:paraId="0E7A2F49">
      <w:pPr>
        <w:widowControl/>
        <w:jc w:val="left"/>
        <w:rPr>
          <w:rFonts w:ascii="宋体" w:hAnsi="宋体"/>
          <w:color w:val="000000"/>
          <w:sz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A7DEE">
    <w:pPr>
      <w:pStyle w:val="5"/>
      <w:jc w:val="center"/>
    </w:pPr>
    <w:r>
      <w:fldChar w:fldCharType="begin"/>
    </w:r>
    <w:r>
      <w:instrText xml:space="preserve">PAGE   \* MERGEFORMAT</w:instrText>
    </w:r>
    <w:r>
      <w:fldChar w:fldCharType="separate"/>
    </w:r>
    <w:r>
      <w:rPr>
        <w:lang w:val="zh-CN"/>
      </w:rPr>
      <w:t>20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99AA89"/>
    <w:multiLevelType w:val="singleLevel"/>
    <w:tmpl w:val="A199AA89"/>
    <w:lvl w:ilvl="0" w:tentative="0">
      <w:start w:val="1"/>
      <w:numFmt w:val="chineseCounting"/>
      <w:suff w:val="nothing"/>
      <w:lvlText w:val="（%1）"/>
      <w:lvlJc w:val="left"/>
      <w:rPr>
        <w:rFonts w:hint="eastAsia"/>
      </w:rPr>
    </w:lvl>
  </w:abstractNum>
  <w:abstractNum w:abstractNumId="1">
    <w:nsid w:val="00000001"/>
    <w:multiLevelType w:val="multilevel"/>
    <w:tmpl w:val="00000001"/>
    <w:lvl w:ilvl="0" w:tentative="0">
      <w:start w:val="1"/>
      <w:numFmt w:val="chineseCountingThousand"/>
      <w:pStyle w:val="2"/>
      <w:lvlText w:val="%1、"/>
      <w:lvlJc w:val="left"/>
      <w:pPr>
        <w:ind w:left="278" w:hanging="420"/>
      </w:pPr>
    </w:lvl>
    <w:lvl w:ilvl="1" w:tentative="0">
      <w:start w:val="1"/>
      <w:numFmt w:val="lowerLetter"/>
      <w:lvlText w:val="%2)"/>
      <w:lvlJc w:val="left"/>
      <w:pPr>
        <w:ind w:left="698" w:hanging="420"/>
      </w:pPr>
    </w:lvl>
    <w:lvl w:ilvl="2" w:tentative="0">
      <w:start w:val="1"/>
      <w:numFmt w:val="lowerRoman"/>
      <w:lvlText w:val="%3."/>
      <w:lvlJc w:val="right"/>
      <w:pPr>
        <w:ind w:left="1118" w:hanging="420"/>
      </w:pPr>
    </w:lvl>
    <w:lvl w:ilvl="3" w:tentative="0">
      <w:start w:val="1"/>
      <w:numFmt w:val="decimal"/>
      <w:lvlText w:val="%4."/>
      <w:lvlJc w:val="left"/>
      <w:pPr>
        <w:ind w:left="1538" w:hanging="420"/>
      </w:pPr>
    </w:lvl>
    <w:lvl w:ilvl="4" w:tentative="0">
      <w:start w:val="1"/>
      <w:numFmt w:val="lowerLetter"/>
      <w:lvlText w:val="%5)"/>
      <w:lvlJc w:val="left"/>
      <w:pPr>
        <w:ind w:left="1958" w:hanging="420"/>
      </w:pPr>
    </w:lvl>
    <w:lvl w:ilvl="5" w:tentative="0">
      <w:start w:val="1"/>
      <w:numFmt w:val="lowerRoman"/>
      <w:lvlText w:val="%6."/>
      <w:lvlJc w:val="right"/>
      <w:pPr>
        <w:ind w:left="2378" w:hanging="420"/>
      </w:pPr>
    </w:lvl>
    <w:lvl w:ilvl="6" w:tentative="0">
      <w:start w:val="1"/>
      <w:numFmt w:val="decimal"/>
      <w:lvlText w:val="%7."/>
      <w:lvlJc w:val="left"/>
      <w:pPr>
        <w:ind w:left="2798" w:hanging="420"/>
      </w:pPr>
    </w:lvl>
    <w:lvl w:ilvl="7" w:tentative="0">
      <w:start w:val="1"/>
      <w:numFmt w:val="lowerLetter"/>
      <w:lvlText w:val="%8)"/>
      <w:lvlJc w:val="left"/>
      <w:pPr>
        <w:ind w:left="3218" w:hanging="420"/>
      </w:pPr>
    </w:lvl>
    <w:lvl w:ilvl="8" w:tentative="0">
      <w:start w:val="1"/>
      <w:numFmt w:val="lowerRoman"/>
      <w:lvlText w:val="%9."/>
      <w:lvlJc w:val="right"/>
      <w:pPr>
        <w:ind w:left="3638" w:hanging="420"/>
      </w:pPr>
    </w:lvl>
  </w:abstractNum>
  <w:abstractNum w:abstractNumId="2">
    <w:nsid w:val="00000002"/>
    <w:multiLevelType w:val="multilevel"/>
    <w:tmpl w:val="00000002"/>
    <w:lvl w:ilvl="0" w:tentative="0">
      <w:start w:val="1"/>
      <w:numFmt w:val="decimal"/>
      <w:pStyle w:val="3"/>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4"/>
    <w:multiLevelType w:val="multilevel"/>
    <w:tmpl w:val="00000004"/>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0000000D"/>
    <w:multiLevelType w:val="singleLevel"/>
    <w:tmpl w:val="0000000D"/>
    <w:lvl w:ilvl="0" w:tentative="0">
      <w:start w:val="1"/>
      <w:numFmt w:val="bullet"/>
      <w:lvlText w:val=""/>
      <w:lvlJc w:val="left"/>
      <w:pPr>
        <w:ind w:left="420" w:hanging="420"/>
      </w:pPr>
      <w:rPr>
        <w:rFonts w:hint="default" w:ascii="Wingdings" w:hAnsi="Wingdings"/>
      </w:rPr>
    </w:lvl>
  </w:abstractNum>
  <w:abstractNum w:abstractNumId="5">
    <w:nsid w:val="39012741"/>
    <w:multiLevelType w:val="singleLevel"/>
    <w:tmpl w:val="39012741"/>
    <w:lvl w:ilvl="0" w:tentative="0">
      <w:start w:val="1"/>
      <w:numFmt w:val="decimal"/>
      <w:suff w:val="nothing"/>
      <w:lvlText w:val="%1、"/>
      <w:lvlJc w:val="left"/>
    </w:lvl>
  </w:abstractNum>
  <w:abstractNum w:abstractNumId="6">
    <w:nsid w:val="67DA9FDB"/>
    <w:multiLevelType w:val="singleLevel"/>
    <w:tmpl w:val="67DA9FDB"/>
    <w:lvl w:ilvl="0" w:tentative="0">
      <w:start w:val="1"/>
      <w:numFmt w:val="decimal"/>
      <w:suff w:val="space"/>
      <w:lvlText w:val="%1."/>
      <w:lvlJc w:val="left"/>
    </w:lvl>
  </w:abstractNum>
  <w:abstractNum w:abstractNumId="7">
    <w:nsid w:val="6BEF7F2E"/>
    <w:multiLevelType w:val="singleLevel"/>
    <w:tmpl w:val="6BEF7F2E"/>
    <w:lvl w:ilvl="0" w:tentative="0">
      <w:start w:val="1"/>
      <w:numFmt w:val="decimal"/>
      <w:suff w:val="nothing"/>
      <w:lvlText w:val="（%1）"/>
      <w:lvlJc w:val="left"/>
    </w:lvl>
  </w:abstractNum>
  <w:num w:numId="1">
    <w:abstractNumId w:val="1"/>
  </w:num>
  <w:num w:numId="2">
    <w:abstractNumId w:val="2"/>
  </w:num>
  <w:num w:numId="3">
    <w:abstractNumId w:val="0"/>
  </w:num>
  <w:num w:numId="4">
    <w:abstractNumId w:val="6"/>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195888"/>
    <w:rsid w:val="54A775EF"/>
    <w:rsid w:val="58997E12"/>
    <w:rsid w:val="5904620F"/>
    <w:rsid w:val="7AD3B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numPr>
        <w:ilvl w:val="0"/>
        <w:numId w:val="1"/>
      </w:numPr>
      <w:spacing w:line="360" w:lineRule="auto"/>
      <w:outlineLvl w:val="0"/>
    </w:pPr>
    <w:rPr>
      <w:rFonts w:ascii="微软雅黑" w:hAnsi="微软雅黑" w:eastAsia="微软雅黑"/>
      <w:b/>
      <w:bCs/>
      <w:kern w:val="44"/>
      <w:sz w:val="28"/>
      <w:szCs w:val="32"/>
    </w:rPr>
  </w:style>
  <w:style w:type="paragraph" w:styleId="3">
    <w:name w:val="heading 2"/>
    <w:basedOn w:val="1"/>
    <w:next w:val="1"/>
    <w:unhideWhenUsed/>
    <w:qFormat/>
    <w:uiPriority w:val="9"/>
    <w:pPr>
      <w:numPr>
        <w:ilvl w:val="0"/>
        <w:numId w:val="2"/>
      </w:numPr>
      <w:ind w:firstLine="0"/>
      <w:outlineLvl w:val="1"/>
    </w:pPr>
    <w:rPr>
      <w:rFonts w:ascii="微软雅黑" w:hAnsi="微软雅黑" w:eastAsia="微软雅黑"/>
      <w:b/>
    </w:rPr>
  </w:style>
  <w:style w:type="character" w:default="1" w:styleId="8">
    <w:name w:val="Default Paragraph Font"/>
    <w:unhideWhenUsed/>
    <w:qFormat/>
    <w:uiPriority w:val="1"/>
  </w:style>
  <w:style w:type="table" w:default="1" w:styleId="6">
    <w:name w:val="Normal Table"/>
    <w:unhideWhenUsed/>
    <w:uiPriority w:val="99"/>
    <w:tblPr>
      <w:tblCellMar>
        <w:top w:w="0" w:type="dxa"/>
        <w:left w:w="108" w:type="dxa"/>
        <w:bottom w:w="0" w:type="dxa"/>
        <w:right w:w="108" w:type="dxa"/>
      </w:tblCellMar>
    </w:tblPr>
  </w:style>
  <w:style w:type="paragraph" w:styleId="4">
    <w:name w:val="Body Text"/>
    <w:basedOn w:val="1"/>
    <w:qFormat/>
    <w:uiPriority w:val="1"/>
    <w:pPr>
      <w:autoSpaceDE w:val="0"/>
      <w:autoSpaceDN w:val="0"/>
      <w:ind w:left="120"/>
      <w:jc w:val="left"/>
    </w:pPr>
    <w:rPr>
      <w:rFonts w:ascii="宋体" w:hAnsi="宋体" w:cs="宋体"/>
      <w:kern w:val="0"/>
      <w:sz w:val="28"/>
      <w:szCs w:val="28"/>
      <w:lang w:val="zh-CN" w:bidi="zh-CN"/>
    </w:rPr>
  </w:style>
  <w:style w:type="paragraph" w:styleId="5">
    <w:name w:val="footer"/>
    <w:basedOn w:val="1"/>
    <w:qFormat/>
    <w:uiPriority w:val="99"/>
    <w:pPr>
      <w:tabs>
        <w:tab w:val="center" w:pos="4153"/>
        <w:tab w:val="right" w:pos="8306"/>
      </w:tabs>
      <w:snapToGrid w:val="0"/>
      <w:jc w:val="left"/>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iPriority w:val="0"/>
    <w:rPr>
      <w:color w:val="0000FF"/>
      <w:u w:val="single"/>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3718</Words>
  <Characters>3957</Characters>
  <Lines>28</Lines>
  <Paragraphs>8</Paragraphs>
  <TotalTime>1</TotalTime>
  <ScaleCrop>false</ScaleCrop>
  <LinksUpToDate>false</LinksUpToDate>
  <CharactersWithSpaces>3964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2026-05-12T22:03:00Z</dcterms:created>
  <dc:creator>伯纳乌的小球童</dc:creator>
  <cp:lastModifiedBy>l l</cp:lastModifiedBy>
  <dcterms:modified xsi:type="dcterms:W3CDTF">2026-05-12T03:16:30Z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8B27D14285924AE68A24F91FB31FAA76_13</vt:lpwstr>
  </property>
  <property fmtid="{D5CDD505-2E9C-101B-9397-08002B2CF9AE}" pid="4" name="KSOTemplateDocerSaveRecord">
    <vt:lpwstr>eyJoZGlkIjoiOGRhZjg2NGZkYzc4ZWRiOWQwMTFhOTFiZWIyYzNiYzQiLCJ1c2VySWQiOiI1NTA1MjcyNzMifQ==</vt:lpwstr>
  </property>
</Properties>
</file>